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4353B" w14:textId="77777777" w:rsidR="0081349D" w:rsidRPr="0081349D" w:rsidRDefault="0081349D" w:rsidP="00C54D22">
      <w:pPr>
        <w:tabs>
          <w:tab w:val="left" w:pos="284"/>
        </w:tabs>
        <w:spacing w:line="360" w:lineRule="auto"/>
        <w:jc w:val="both"/>
        <w:rPr>
          <w:rFonts w:ascii="Arial" w:eastAsiaTheme="minorHAnsi" w:hAnsi="Arial" w:cs="Arial"/>
          <w:sz w:val="20"/>
          <w:szCs w:val="20"/>
          <w:lang w:eastAsia="en-US"/>
        </w:rPr>
      </w:pPr>
      <w:r w:rsidRPr="0081349D">
        <w:rPr>
          <w:rFonts w:ascii="Arial" w:eastAsiaTheme="minorHAnsi" w:hAnsi="Arial" w:cs="Arial"/>
          <w:sz w:val="20"/>
          <w:szCs w:val="20"/>
          <w:lang w:eastAsia="en-US"/>
        </w:rPr>
        <w:t xml:space="preserve">É colocada à discussão a proposta de </w:t>
      </w:r>
      <w:r w:rsidRPr="0081349D">
        <w:rPr>
          <w:rFonts w:ascii="Calibri" w:eastAsiaTheme="minorHAnsi" w:hAnsi="Calibri" w:cs="Calibri"/>
          <w:b/>
          <w:sz w:val="22"/>
          <w:szCs w:val="22"/>
          <w:lang w:eastAsia="en-US"/>
        </w:rPr>
        <w:t>Regulamento de Prestação de Serviços à Comunidade pelo Instituto Politécnico de Portalegre</w:t>
      </w:r>
      <w:r w:rsidRPr="0081349D">
        <w:rPr>
          <w:rFonts w:ascii="Arial" w:eastAsiaTheme="minorHAnsi" w:hAnsi="Arial" w:cs="Arial"/>
          <w:sz w:val="20"/>
          <w:szCs w:val="20"/>
          <w:lang w:eastAsia="en-US"/>
        </w:rPr>
        <w:t xml:space="preserve"> (IPP) que </w:t>
      </w:r>
      <w:r w:rsidRPr="0081349D">
        <w:rPr>
          <w:rFonts w:ascii="Calibri" w:eastAsiaTheme="minorHAnsi" w:hAnsi="Calibri" w:cs="Calibri"/>
          <w:sz w:val="22"/>
          <w:szCs w:val="22"/>
          <w:lang w:eastAsia="en-US"/>
        </w:rPr>
        <w:t>consagra as normas aplicáveis às prestações de serviços realizadas pelo IPP, nos termos do artigo 100.º e 101.º do Código de Procedimento Administrativo</w:t>
      </w:r>
      <w:r w:rsidRPr="0081349D">
        <w:rPr>
          <w:rFonts w:ascii="Arial" w:eastAsiaTheme="minorHAnsi" w:hAnsi="Arial" w:cs="Arial"/>
          <w:sz w:val="20"/>
          <w:szCs w:val="20"/>
          <w:lang w:eastAsia="en-US"/>
        </w:rPr>
        <w:t xml:space="preserve">. </w:t>
      </w:r>
    </w:p>
    <w:p w14:paraId="6C2ADD4A" w14:textId="77777777" w:rsidR="0081349D" w:rsidRPr="0081349D" w:rsidRDefault="0081349D" w:rsidP="00C54D22">
      <w:pPr>
        <w:tabs>
          <w:tab w:val="left" w:pos="284"/>
        </w:tabs>
        <w:spacing w:line="360" w:lineRule="auto"/>
        <w:jc w:val="both"/>
        <w:rPr>
          <w:rFonts w:ascii="Calibri" w:eastAsiaTheme="minorHAnsi" w:hAnsi="Calibri" w:cs="Calibri"/>
          <w:b/>
          <w:sz w:val="22"/>
          <w:szCs w:val="22"/>
          <w:lang w:eastAsia="en-US"/>
        </w:rPr>
      </w:pPr>
    </w:p>
    <w:p w14:paraId="43785D50" w14:textId="77777777" w:rsidR="0081349D" w:rsidRPr="0081349D" w:rsidRDefault="0081349D" w:rsidP="00C54D22">
      <w:pPr>
        <w:tabs>
          <w:tab w:val="left" w:pos="284"/>
        </w:tabs>
        <w:spacing w:line="360" w:lineRule="auto"/>
        <w:jc w:val="both"/>
        <w:rPr>
          <w:rFonts w:ascii="Calibri" w:eastAsiaTheme="minorHAnsi" w:hAnsi="Calibri" w:cs="Calibri"/>
          <w:b/>
          <w:sz w:val="22"/>
          <w:szCs w:val="22"/>
          <w:lang w:eastAsia="en-US"/>
        </w:rPr>
      </w:pPr>
      <w:r w:rsidRPr="0081349D">
        <w:rPr>
          <w:rFonts w:ascii="Calibri" w:eastAsiaTheme="minorHAnsi" w:hAnsi="Calibri" w:cs="Calibri"/>
          <w:b/>
          <w:sz w:val="22"/>
          <w:szCs w:val="22"/>
          <w:lang w:eastAsia="en-US"/>
        </w:rPr>
        <w:t xml:space="preserve">Preâmbulo  </w:t>
      </w:r>
    </w:p>
    <w:p w14:paraId="7BA0A298" w14:textId="77777777" w:rsidR="0081349D" w:rsidRPr="0081349D" w:rsidRDefault="0081349D" w:rsidP="00C54D22">
      <w:pPr>
        <w:tabs>
          <w:tab w:val="left" w:pos="284"/>
        </w:tabs>
        <w:spacing w:line="360" w:lineRule="auto"/>
        <w:jc w:val="both"/>
        <w:rPr>
          <w:rFonts w:ascii="Calibri" w:eastAsiaTheme="minorHAnsi" w:hAnsi="Calibri" w:cs="Calibri"/>
          <w:sz w:val="22"/>
          <w:szCs w:val="22"/>
          <w:lang w:eastAsia="en-US"/>
        </w:rPr>
      </w:pPr>
    </w:p>
    <w:p w14:paraId="5C8AADEF" w14:textId="77777777" w:rsidR="0081349D" w:rsidRDefault="0056748C" w:rsidP="00C54D22">
      <w:pPr>
        <w:tabs>
          <w:tab w:val="left" w:pos="284"/>
        </w:tabs>
        <w:spacing w:line="360" w:lineRule="auto"/>
        <w:rPr>
          <w:rFonts w:ascii="Calibri" w:hAnsi="Calibri" w:cs="Calibri"/>
          <w:sz w:val="22"/>
          <w:szCs w:val="22"/>
        </w:rPr>
      </w:pPr>
      <w:r>
        <w:rPr>
          <w:rFonts w:ascii="Calibri" w:hAnsi="Calibri" w:cs="Calibri"/>
          <w:sz w:val="22"/>
          <w:szCs w:val="22"/>
        </w:rPr>
        <w:t>Considerando que</w:t>
      </w:r>
      <w:r w:rsidR="0081349D" w:rsidRPr="0081349D">
        <w:rPr>
          <w:rFonts w:ascii="Calibri" w:hAnsi="Calibri" w:cs="Calibri"/>
          <w:sz w:val="22"/>
          <w:szCs w:val="22"/>
        </w:rPr>
        <w:t>:</w:t>
      </w:r>
    </w:p>
    <w:p w14:paraId="4F3F8875" w14:textId="77777777" w:rsidR="0056748C" w:rsidRPr="0081349D" w:rsidRDefault="0056748C" w:rsidP="00C54D22">
      <w:pPr>
        <w:tabs>
          <w:tab w:val="left" w:pos="284"/>
        </w:tabs>
        <w:spacing w:line="360" w:lineRule="auto"/>
        <w:rPr>
          <w:rFonts w:ascii="Calibri" w:hAnsi="Calibri" w:cs="Calibri"/>
          <w:sz w:val="22"/>
          <w:szCs w:val="22"/>
        </w:rPr>
      </w:pPr>
    </w:p>
    <w:p w14:paraId="5362DA27" w14:textId="77777777" w:rsidR="0081349D" w:rsidRPr="0081349D" w:rsidRDefault="0081349D" w:rsidP="00C54D22">
      <w:pPr>
        <w:tabs>
          <w:tab w:val="left" w:pos="284"/>
        </w:tabs>
        <w:spacing w:line="360" w:lineRule="auto"/>
        <w:jc w:val="both"/>
        <w:rPr>
          <w:rFonts w:ascii="Calibri" w:hAnsi="Calibri" w:cs="Calibri"/>
          <w:sz w:val="22"/>
          <w:szCs w:val="22"/>
        </w:rPr>
      </w:pPr>
      <w:r w:rsidRPr="0081349D">
        <w:rPr>
          <w:rFonts w:ascii="Calibri" w:hAnsi="Calibri" w:cs="Calibri"/>
          <w:sz w:val="22"/>
          <w:szCs w:val="22"/>
        </w:rPr>
        <w:t>1 - Nos termos do disposto nas alíneas d) e f) do n.º 1 do artigo 8.º da Lei n.º 62/2007 (RJIES), de 10 de setembro, são atribuições das instituições de ensino superior a transferência e valorização económica do conhecimento científico e tecnológico e a prestação de serviços à comunidade e de apoio ao desenvolvimento;</w:t>
      </w:r>
    </w:p>
    <w:p w14:paraId="1257E85B" w14:textId="77777777" w:rsidR="0081349D" w:rsidRPr="0081349D" w:rsidRDefault="0081349D" w:rsidP="00C54D22">
      <w:pPr>
        <w:tabs>
          <w:tab w:val="left" w:pos="284"/>
        </w:tabs>
        <w:spacing w:line="360" w:lineRule="auto"/>
        <w:jc w:val="both"/>
        <w:rPr>
          <w:rFonts w:ascii="Calibri" w:hAnsi="Calibri" w:cs="Calibri"/>
          <w:sz w:val="22"/>
          <w:szCs w:val="22"/>
        </w:rPr>
      </w:pPr>
      <w:r w:rsidRPr="0081349D">
        <w:rPr>
          <w:rFonts w:ascii="Calibri" w:hAnsi="Calibri" w:cs="Calibri"/>
          <w:sz w:val="22"/>
          <w:szCs w:val="22"/>
        </w:rPr>
        <w:t xml:space="preserve">2 - Os Estatutos do Instituto Politécnico de Portalegre, homologados </w:t>
      </w:r>
      <w:r w:rsidRPr="0081349D">
        <w:rPr>
          <w:rFonts w:ascii="Calibri" w:eastAsiaTheme="minorHAnsi" w:hAnsi="Calibri" w:cs="Calibri"/>
          <w:sz w:val="22"/>
          <w:szCs w:val="22"/>
          <w:lang w:eastAsia="en-US"/>
        </w:rPr>
        <w:t xml:space="preserve">pelo Despacho Normativo </w:t>
      </w:r>
      <w:r w:rsidR="0056748C">
        <w:rPr>
          <w:rFonts w:ascii="Calibri" w:eastAsiaTheme="minorHAnsi" w:hAnsi="Calibri" w:cs="Calibri"/>
          <w:sz w:val="22"/>
          <w:szCs w:val="22"/>
          <w:lang w:eastAsia="en-US"/>
        </w:rPr>
        <w:br/>
      </w:r>
      <w:r w:rsidRPr="0081349D">
        <w:rPr>
          <w:rFonts w:ascii="Calibri" w:eastAsiaTheme="minorHAnsi" w:hAnsi="Calibri" w:cs="Calibri"/>
          <w:sz w:val="22"/>
          <w:szCs w:val="22"/>
          <w:lang w:eastAsia="en-US"/>
        </w:rPr>
        <w:t>n.º 3/2016, de 20 de abril de 2016, publicado no Diário da República n.º 85, II Série, de 3 de maio de 2016</w:t>
      </w:r>
      <w:r w:rsidRPr="0081349D">
        <w:rPr>
          <w:rFonts w:ascii="Calibri" w:hAnsi="Calibri" w:cs="Calibri"/>
          <w:sz w:val="22"/>
          <w:szCs w:val="22"/>
        </w:rPr>
        <w:t>, determinam, nas alíneas e), f) e g) do n.º 1 do artigo 2.º, que são atribuições do Politécnico de Portalegre, entre outras, a transferência e valorização do conhecimento científico e tecnológico, a realização de ações de formação profissional e de atualização de conhecimentos, e a prestação de serviços à comunidade e de apoio ao desenvolvimento da região e do país, numa perspetiva de valorização recíproca;</w:t>
      </w:r>
    </w:p>
    <w:p w14:paraId="5179AAE6" w14:textId="77777777" w:rsidR="0081349D" w:rsidRPr="0081349D" w:rsidRDefault="0081349D" w:rsidP="00C54D22">
      <w:pPr>
        <w:tabs>
          <w:tab w:val="left" w:pos="284"/>
        </w:tabs>
        <w:spacing w:line="360" w:lineRule="auto"/>
        <w:jc w:val="both"/>
        <w:rPr>
          <w:rFonts w:ascii="Calibri" w:hAnsi="Calibri" w:cs="Calibri"/>
          <w:iCs/>
          <w:sz w:val="22"/>
          <w:szCs w:val="22"/>
          <w:lang w:eastAsia="zh-CN" w:bidi="mn-Mong-CN"/>
        </w:rPr>
      </w:pPr>
      <w:r w:rsidRPr="0081349D">
        <w:rPr>
          <w:rFonts w:ascii="Calibri" w:hAnsi="Calibri" w:cs="Calibri"/>
          <w:iCs/>
          <w:sz w:val="22"/>
          <w:szCs w:val="22"/>
          <w:lang w:eastAsia="zh-CN" w:bidi="mn-Mong-CN"/>
        </w:rPr>
        <w:t>3 - Nos termos do n.º 3 do artigo 34-A do ECPDESP, não viola o regime de exclusividade a perceção de remunerações decorrentes de:</w:t>
      </w:r>
    </w:p>
    <w:p w14:paraId="439E0A1A" w14:textId="77777777" w:rsidR="0081349D" w:rsidRPr="0081349D" w:rsidRDefault="0081349D" w:rsidP="00C54D22">
      <w:pPr>
        <w:shd w:val="clear" w:color="auto" w:fill="FFFFFF"/>
        <w:tabs>
          <w:tab w:val="left" w:pos="284"/>
        </w:tabs>
        <w:spacing w:line="360" w:lineRule="auto"/>
        <w:jc w:val="both"/>
        <w:rPr>
          <w:rFonts w:ascii="Calibri" w:hAnsi="Calibri" w:cs="Calibri"/>
          <w:iCs/>
          <w:sz w:val="22"/>
          <w:szCs w:val="22"/>
          <w:lang w:eastAsia="zh-CN" w:bidi="mn-Mong-CN"/>
        </w:rPr>
      </w:pPr>
      <w:r w:rsidRPr="0081349D">
        <w:rPr>
          <w:rFonts w:ascii="Calibri" w:hAnsi="Calibri" w:cs="Calibri"/>
          <w:iCs/>
          <w:sz w:val="22"/>
          <w:szCs w:val="22"/>
          <w:lang w:eastAsia="zh-CN" w:bidi="mn-Mong-CN"/>
        </w:rPr>
        <w:t xml:space="preserve">“i) Prestação de serviço docente em instituição de ensino superior pública diversa da instituição a que esteja vinculado, quando, com autorização prévia desta última, se realize para além do período semanal de trinta e cinco horas de serviço e não exceda quatro horas semanais;  </w:t>
      </w:r>
    </w:p>
    <w:p w14:paraId="20F66B67" w14:textId="77777777" w:rsidR="0081349D" w:rsidRPr="0081349D" w:rsidRDefault="0081349D" w:rsidP="00C54D22">
      <w:pPr>
        <w:shd w:val="clear" w:color="auto" w:fill="FFFFFF"/>
        <w:tabs>
          <w:tab w:val="left" w:pos="284"/>
        </w:tabs>
        <w:spacing w:line="360" w:lineRule="auto"/>
        <w:jc w:val="both"/>
        <w:rPr>
          <w:rFonts w:ascii="Calibri" w:hAnsi="Calibri" w:cs="Calibri"/>
          <w:sz w:val="22"/>
          <w:szCs w:val="22"/>
          <w:lang w:eastAsia="zh-CN" w:bidi="mn-Mong-CN"/>
        </w:rPr>
      </w:pPr>
      <w:r w:rsidRPr="0081349D">
        <w:rPr>
          <w:rFonts w:ascii="Calibri" w:hAnsi="Calibri" w:cs="Calibri"/>
          <w:iCs/>
          <w:sz w:val="22"/>
          <w:szCs w:val="22"/>
          <w:lang w:eastAsia="zh-CN" w:bidi="mn-Mong-CN"/>
        </w:rPr>
        <w:t>j) Atividades exercidas, quer no âmbito de contratos entre a instituição a que pertence e outras entidades públicas ou privadas, nacionais, estrangeiras ou internacionais, quer no âmbito de projetos subsidiados por quaisquer dessas entidades, desde que se trate de atividades da responsabilidade da instituição e que os encargos com as correspondentes remunerações sejam satisfeitos através de receitas provenientes dos referidos contratos ou subsídios, nos termos de regulamento aprovado pela própria instituição de ensino superior."</w:t>
      </w:r>
    </w:p>
    <w:p w14:paraId="28830DBC" w14:textId="77777777" w:rsidR="0081349D" w:rsidRPr="0081349D" w:rsidRDefault="0081349D" w:rsidP="00C54D22">
      <w:pPr>
        <w:tabs>
          <w:tab w:val="left" w:pos="284"/>
        </w:tabs>
        <w:spacing w:line="360" w:lineRule="auto"/>
        <w:jc w:val="both"/>
        <w:rPr>
          <w:rFonts w:ascii="Calibri" w:hAnsi="Calibri" w:cs="Calibri"/>
          <w:sz w:val="22"/>
          <w:szCs w:val="22"/>
        </w:rPr>
      </w:pPr>
      <w:r w:rsidRPr="0081349D">
        <w:rPr>
          <w:rFonts w:ascii="Calibri" w:hAnsi="Calibri" w:cs="Calibri"/>
          <w:sz w:val="22"/>
          <w:szCs w:val="22"/>
        </w:rPr>
        <w:lastRenderedPageBreak/>
        <w:t>4 - Importa, assim, regulamentar a prestação de serviços ao exterior enquanto atividade institucional de relação com a comunidade, incluindo todos os agentes que a prestam, de modo a assegurar unidade de procedimentos no universo Politécnico de Portalegre, bem como a observância dos normativos legais aplicáveis;</w:t>
      </w:r>
    </w:p>
    <w:p w14:paraId="46B2AB6E" w14:textId="77777777" w:rsidR="0081349D" w:rsidRPr="0081349D" w:rsidRDefault="0081349D" w:rsidP="00C54D22">
      <w:pPr>
        <w:tabs>
          <w:tab w:val="left" w:pos="284"/>
        </w:tabs>
        <w:spacing w:line="360" w:lineRule="auto"/>
        <w:jc w:val="both"/>
        <w:rPr>
          <w:rFonts w:ascii="Calibri" w:eastAsiaTheme="minorHAnsi" w:hAnsi="Calibri" w:cs="Calibri"/>
          <w:sz w:val="22"/>
          <w:szCs w:val="22"/>
          <w:lang w:eastAsia="en-US"/>
        </w:rPr>
      </w:pPr>
      <w:r w:rsidRPr="0081349D">
        <w:rPr>
          <w:rFonts w:ascii="Calibri" w:eastAsiaTheme="minorHAnsi" w:hAnsi="Calibri" w:cs="Calibri"/>
          <w:sz w:val="22"/>
          <w:szCs w:val="22"/>
          <w:lang w:eastAsia="en-US"/>
        </w:rPr>
        <w:t>5 - Foram ouvidos o Conselho Geral e o Conselho Académico do Instituto Politécnico de Portalegre;</w:t>
      </w:r>
    </w:p>
    <w:p w14:paraId="4F677566" w14:textId="77777777" w:rsidR="0081349D" w:rsidRPr="0081349D" w:rsidRDefault="0081349D" w:rsidP="00C54D22">
      <w:pPr>
        <w:tabs>
          <w:tab w:val="left" w:pos="284"/>
        </w:tabs>
        <w:spacing w:line="360" w:lineRule="auto"/>
        <w:jc w:val="both"/>
        <w:rPr>
          <w:rFonts w:ascii="Calibri" w:hAnsi="Calibri" w:cs="Calibri"/>
          <w:sz w:val="22"/>
          <w:szCs w:val="22"/>
        </w:rPr>
      </w:pPr>
      <w:r w:rsidRPr="0081349D">
        <w:rPr>
          <w:rFonts w:ascii="Calibri" w:hAnsi="Calibri" w:cs="Calibri"/>
          <w:sz w:val="22"/>
          <w:szCs w:val="22"/>
        </w:rPr>
        <w:t>6 - O regulamento foi objeto de audiência e consulta pública, nos termos do artigo 100.º e 101.º do Código do Procedimento Administrativo, aprovado pelo Decreto-Lei n.º 4/2015, de 7 de janeiro.</w:t>
      </w:r>
    </w:p>
    <w:p w14:paraId="4F0FAD1C" w14:textId="77777777" w:rsidR="0056748C" w:rsidRPr="0056748C" w:rsidRDefault="0056748C" w:rsidP="0056748C">
      <w:pPr>
        <w:tabs>
          <w:tab w:val="left" w:pos="284"/>
        </w:tabs>
        <w:spacing w:line="360" w:lineRule="auto"/>
        <w:jc w:val="both"/>
        <w:rPr>
          <w:rFonts w:ascii="Calibri" w:hAnsi="Calibri" w:cs="Calibri"/>
          <w:sz w:val="22"/>
          <w:szCs w:val="22"/>
        </w:rPr>
      </w:pPr>
      <w:r>
        <w:rPr>
          <w:rFonts w:ascii="Calibri" w:hAnsi="Calibri" w:cs="Calibri"/>
          <w:sz w:val="22"/>
          <w:szCs w:val="22"/>
        </w:rPr>
        <w:t>A</w:t>
      </w:r>
      <w:r w:rsidRPr="0056748C">
        <w:rPr>
          <w:rFonts w:ascii="Calibri" w:hAnsi="Calibri" w:cs="Calibri"/>
          <w:sz w:val="22"/>
          <w:szCs w:val="22"/>
        </w:rPr>
        <w:t>provo</w:t>
      </w:r>
      <w:r w:rsidRPr="0081349D">
        <w:rPr>
          <w:rFonts w:ascii="Calibri" w:hAnsi="Calibri" w:cs="Calibri"/>
          <w:sz w:val="22"/>
          <w:szCs w:val="22"/>
        </w:rPr>
        <w:t xml:space="preserve"> </w:t>
      </w:r>
      <w:r w:rsidR="0081349D" w:rsidRPr="0081349D">
        <w:rPr>
          <w:rFonts w:ascii="Calibri" w:hAnsi="Calibri" w:cs="Calibri"/>
          <w:sz w:val="22"/>
          <w:szCs w:val="22"/>
        </w:rPr>
        <w:t>o "</w:t>
      </w:r>
      <w:r w:rsidR="0081349D" w:rsidRPr="0081349D">
        <w:rPr>
          <w:rFonts w:ascii="Calibri" w:hAnsi="Calibri" w:cs="Calibri"/>
          <w:b/>
          <w:sz w:val="22"/>
          <w:szCs w:val="22"/>
        </w:rPr>
        <w:t>Regulamento de Prestação de Serviços à Comunidade pelo Instituto Politécnico de Portalegre</w:t>
      </w:r>
      <w:r>
        <w:rPr>
          <w:rFonts w:ascii="Calibri" w:hAnsi="Calibri" w:cs="Calibri"/>
          <w:b/>
          <w:sz w:val="22"/>
          <w:szCs w:val="22"/>
        </w:rPr>
        <w:t xml:space="preserve"> (IPP)</w:t>
      </w:r>
      <w:r w:rsidR="0081349D" w:rsidRPr="0081349D">
        <w:rPr>
          <w:rFonts w:ascii="Calibri" w:hAnsi="Calibri" w:cs="Calibri"/>
          <w:sz w:val="22"/>
          <w:szCs w:val="22"/>
        </w:rPr>
        <w:t>"</w:t>
      </w:r>
      <w:r w:rsidRPr="0056748C">
        <w:rPr>
          <w:rFonts w:ascii="Calibri" w:hAnsi="Calibri" w:cs="Calibri"/>
          <w:sz w:val="22"/>
          <w:szCs w:val="22"/>
        </w:rPr>
        <w:t>, em anexo ao presente despacho e que dele faz parte integrante.</w:t>
      </w:r>
    </w:p>
    <w:p w14:paraId="2770E9F5" w14:textId="77777777" w:rsidR="0056748C" w:rsidRPr="0056748C" w:rsidRDefault="0056748C" w:rsidP="0056748C">
      <w:pPr>
        <w:tabs>
          <w:tab w:val="left" w:pos="284"/>
        </w:tabs>
        <w:spacing w:line="360" w:lineRule="auto"/>
        <w:jc w:val="both"/>
        <w:rPr>
          <w:rFonts w:ascii="Calibri" w:hAnsi="Calibri" w:cs="Calibri"/>
          <w:sz w:val="22"/>
          <w:szCs w:val="22"/>
        </w:rPr>
      </w:pPr>
    </w:p>
    <w:p w14:paraId="31CC2D3A" w14:textId="77777777" w:rsidR="0056748C" w:rsidRPr="0056748C" w:rsidRDefault="0056748C" w:rsidP="0056748C">
      <w:pPr>
        <w:tabs>
          <w:tab w:val="left" w:pos="284"/>
        </w:tabs>
        <w:spacing w:line="360" w:lineRule="auto"/>
        <w:jc w:val="both"/>
        <w:rPr>
          <w:rFonts w:ascii="Calibri" w:hAnsi="Calibri" w:cs="Calibri"/>
          <w:sz w:val="22"/>
          <w:szCs w:val="22"/>
        </w:rPr>
      </w:pPr>
      <w:r w:rsidRPr="0056748C">
        <w:rPr>
          <w:rFonts w:ascii="Calibri" w:hAnsi="Calibri" w:cs="Calibri"/>
          <w:sz w:val="22"/>
          <w:szCs w:val="22"/>
        </w:rPr>
        <w:t>Publique-se em Diário da República, nos termos do artigo 139.º do Código do Procedimento Administrativo.</w:t>
      </w:r>
    </w:p>
    <w:p w14:paraId="00EFE004" w14:textId="77777777" w:rsidR="0056748C" w:rsidRPr="0056748C" w:rsidRDefault="0056748C" w:rsidP="0056748C">
      <w:pPr>
        <w:tabs>
          <w:tab w:val="left" w:pos="284"/>
        </w:tabs>
        <w:spacing w:line="360" w:lineRule="auto"/>
        <w:jc w:val="both"/>
        <w:rPr>
          <w:rFonts w:ascii="Calibri" w:hAnsi="Calibri" w:cs="Calibri"/>
          <w:sz w:val="22"/>
          <w:szCs w:val="22"/>
        </w:rPr>
      </w:pPr>
    </w:p>
    <w:p w14:paraId="0D71BA0B" w14:textId="77777777" w:rsidR="0056748C" w:rsidRPr="0056748C" w:rsidRDefault="0056748C" w:rsidP="0056748C">
      <w:pPr>
        <w:tabs>
          <w:tab w:val="left" w:pos="284"/>
        </w:tabs>
        <w:spacing w:line="360" w:lineRule="auto"/>
        <w:jc w:val="both"/>
        <w:rPr>
          <w:rFonts w:ascii="Calibri" w:hAnsi="Calibri" w:cs="Calibri"/>
          <w:sz w:val="22"/>
          <w:szCs w:val="22"/>
        </w:rPr>
      </w:pPr>
      <w:r w:rsidRPr="0056748C">
        <w:rPr>
          <w:rFonts w:ascii="Calibri" w:hAnsi="Calibri" w:cs="Calibri"/>
          <w:sz w:val="22"/>
          <w:szCs w:val="22"/>
        </w:rPr>
        <w:t>O presente regulamento entra em vigor no dia seguinte ao da sua publicação.</w:t>
      </w:r>
    </w:p>
    <w:p w14:paraId="5EFB0180" w14:textId="77777777" w:rsidR="0056748C" w:rsidRPr="0056748C" w:rsidRDefault="0056748C" w:rsidP="0056748C">
      <w:pPr>
        <w:tabs>
          <w:tab w:val="left" w:pos="284"/>
        </w:tabs>
        <w:spacing w:line="360" w:lineRule="auto"/>
        <w:jc w:val="both"/>
        <w:rPr>
          <w:rFonts w:ascii="Calibri" w:hAnsi="Calibri" w:cs="Calibri"/>
          <w:sz w:val="22"/>
          <w:szCs w:val="22"/>
        </w:rPr>
      </w:pPr>
    </w:p>
    <w:p w14:paraId="5E75781B" w14:textId="77777777" w:rsidR="0056748C" w:rsidRPr="0056748C" w:rsidRDefault="0056748C" w:rsidP="0056748C">
      <w:pPr>
        <w:tabs>
          <w:tab w:val="left" w:pos="284"/>
        </w:tabs>
        <w:spacing w:line="360" w:lineRule="auto"/>
        <w:jc w:val="both"/>
        <w:rPr>
          <w:rFonts w:ascii="Calibri" w:hAnsi="Calibri" w:cs="Calibri"/>
          <w:sz w:val="22"/>
          <w:szCs w:val="22"/>
        </w:rPr>
      </w:pPr>
      <w:r w:rsidRPr="0056748C">
        <w:rPr>
          <w:rFonts w:ascii="Calibri" w:hAnsi="Calibri" w:cs="Calibri"/>
          <w:sz w:val="22"/>
          <w:szCs w:val="22"/>
        </w:rPr>
        <w:t>…………….. de…</w:t>
      </w:r>
      <w:proofErr w:type="gramStart"/>
      <w:r w:rsidRPr="0056748C">
        <w:rPr>
          <w:rFonts w:ascii="Calibri" w:hAnsi="Calibri" w:cs="Calibri"/>
          <w:sz w:val="22"/>
          <w:szCs w:val="22"/>
        </w:rPr>
        <w:t>…….</w:t>
      </w:r>
      <w:proofErr w:type="gramEnd"/>
      <w:r w:rsidRPr="0056748C">
        <w:rPr>
          <w:rFonts w:ascii="Calibri" w:hAnsi="Calibri" w:cs="Calibri"/>
          <w:sz w:val="22"/>
          <w:szCs w:val="22"/>
        </w:rPr>
        <w:t>. de 2019. – O Presidente do IPP, Albano António de Sousa Varela e Silva</w:t>
      </w:r>
    </w:p>
    <w:p w14:paraId="5B8D9BD8" w14:textId="77777777" w:rsidR="0056748C" w:rsidRPr="0056748C" w:rsidRDefault="0056748C" w:rsidP="0056748C">
      <w:pPr>
        <w:tabs>
          <w:tab w:val="left" w:pos="284"/>
        </w:tabs>
        <w:spacing w:line="360" w:lineRule="auto"/>
        <w:jc w:val="both"/>
        <w:rPr>
          <w:rFonts w:ascii="Calibri" w:hAnsi="Calibri" w:cs="Calibri"/>
          <w:sz w:val="22"/>
          <w:szCs w:val="22"/>
        </w:rPr>
      </w:pPr>
    </w:p>
    <w:p w14:paraId="62A086DB" w14:textId="628FDCAB" w:rsidR="0056748C" w:rsidRDefault="0056748C" w:rsidP="0056748C">
      <w:pPr>
        <w:tabs>
          <w:tab w:val="left" w:pos="284"/>
        </w:tabs>
        <w:spacing w:line="360" w:lineRule="auto"/>
        <w:jc w:val="both"/>
        <w:rPr>
          <w:rFonts w:ascii="Calibri" w:hAnsi="Calibri" w:cs="Calibri"/>
          <w:sz w:val="22"/>
          <w:szCs w:val="22"/>
        </w:rPr>
      </w:pPr>
    </w:p>
    <w:p w14:paraId="44118727" w14:textId="6F7AC6BF" w:rsidR="0077558F" w:rsidRDefault="0077558F" w:rsidP="0056748C">
      <w:pPr>
        <w:tabs>
          <w:tab w:val="left" w:pos="284"/>
        </w:tabs>
        <w:spacing w:line="360" w:lineRule="auto"/>
        <w:jc w:val="both"/>
        <w:rPr>
          <w:rFonts w:ascii="Calibri" w:hAnsi="Calibri" w:cs="Calibri"/>
          <w:sz w:val="22"/>
          <w:szCs w:val="22"/>
        </w:rPr>
      </w:pPr>
    </w:p>
    <w:p w14:paraId="54277696" w14:textId="6F0D2C6F" w:rsidR="0077558F" w:rsidRDefault="0077558F" w:rsidP="0056748C">
      <w:pPr>
        <w:tabs>
          <w:tab w:val="left" w:pos="284"/>
        </w:tabs>
        <w:spacing w:line="360" w:lineRule="auto"/>
        <w:jc w:val="both"/>
        <w:rPr>
          <w:rFonts w:ascii="Calibri" w:hAnsi="Calibri" w:cs="Calibri"/>
          <w:sz w:val="22"/>
          <w:szCs w:val="22"/>
        </w:rPr>
      </w:pPr>
    </w:p>
    <w:p w14:paraId="676E95E8" w14:textId="1879E197" w:rsidR="0077558F" w:rsidRDefault="0077558F" w:rsidP="0056748C">
      <w:pPr>
        <w:tabs>
          <w:tab w:val="left" w:pos="284"/>
        </w:tabs>
        <w:spacing w:line="360" w:lineRule="auto"/>
        <w:jc w:val="both"/>
        <w:rPr>
          <w:rFonts w:ascii="Calibri" w:hAnsi="Calibri" w:cs="Calibri"/>
          <w:sz w:val="22"/>
          <w:szCs w:val="22"/>
        </w:rPr>
      </w:pPr>
    </w:p>
    <w:p w14:paraId="16D01E72" w14:textId="492CC4EB" w:rsidR="0077558F" w:rsidRDefault="0077558F" w:rsidP="0056748C">
      <w:pPr>
        <w:tabs>
          <w:tab w:val="left" w:pos="284"/>
        </w:tabs>
        <w:spacing w:line="360" w:lineRule="auto"/>
        <w:jc w:val="both"/>
        <w:rPr>
          <w:rFonts w:ascii="Calibri" w:hAnsi="Calibri" w:cs="Calibri"/>
          <w:sz w:val="22"/>
          <w:szCs w:val="22"/>
        </w:rPr>
      </w:pPr>
    </w:p>
    <w:p w14:paraId="558B4C7A" w14:textId="5C01CDBE" w:rsidR="0077558F" w:rsidRDefault="0077558F" w:rsidP="0056748C">
      <w:pPr>
        <w:tabs>
          <w:tab w:val="left" w:pos="284"/>
        </w:tabs>
        <w:spacing w:line="360" w:lineRule="auto"/>
        <w:jc w:val="both"/>
        <w:rPr>
          <w:rFonts w:ascii="Calibri" w:hAnsi="Calibri" w:cs="Calibri"/>
          <w:sz w:val="22"/>
          <w:szCs w:val="22"/>
        </w:rPr>
      </w:pPr>
    </w:p>
    <w:p w14:paraId="4C3EE1AB" w14:textId="23642953" w:rsidR="0077558F" w:rsidRDefault="0077558F" w:rsidP="0056748C">
      <w:pPr>
        <w:tabs>
          <w:tab w:val="left" w:pos="284"/>
        </w:tabs>
        <w:spacing w:line="360" w:lineRule="auto"/>
        <w:jc w:val="both"/>
        <w:rPr>
          <w:rFonts w:ascii="Calibri" w:hAnsi="Calibri" w:cs="Calibri"/>
          <w:sz w:val="22"/>
          <w:szCs w:val="22"/>
        </w:rPr>
      </w:pPr>
    </w:p>
    <w:p w14:paraId="54922493" w14:textId="77777777" w:rsidR="0077558F" w:rsidRDefault="0077558F" w:rsidP="0056748C">
      <w:pPr>
        <w:tabs>
          <w:tab w:val="left" w:pos="284"/>
        </w:tabs>
        <w:spacing w:line="360" w:lineRule="auto"/>
        <w:jc w:val="both"/>
        <w:rPr>
          <w:rFonts w:ascii="Calibri" w:hAnsi="Calibri" w:cs="Calibri"/>
          <w:sz w:val="22"/>
          <w:szCs w:val="22"/>
        </w:rPr>
      </w:pPr>
    </w:p>
    <w:p w14:paraId="74A336FF" w14:textId="3481C94D" w:rsidR="0077558F" w:rsidRDefault="0077558F" w:rsidP="0056748C">
      <w:pPr>
        <w:tabs>
          <w:tab w:val="left" w:pos="284"/>
        </w:tabs>
        <w:spacing w:line="360" w:lineRule="auto"/>
        <w:jc w:val="both"/>
        <w:rPr>
          <w:rFonts w:ascii="Calibri" w:hAnsi="Calibri" w:cs="Calibri"/>
          <w:sz w:val="22"/>
          <w:szCs w:val="22"/>
        </w:rPr>
      </w:pPr>
    </w:p>
    <w:p w14:paraId="721461C4" w14:textId="12F79165" w:rsidR="0077558F" w:rsidRDefault="0077558F" w:rsidP="0056748C">
      <w:pPr>
        <w:tabs>
          <w:tab w:val="left" w:pos="284"/>
        </w:tabs>
        <w:spacing w:line="360" w:lineRule="auto"/>
        <w:jc w:val="both"/>
        <w:rPr>
          <w:rFonts w:ascii="Calibri" w:hAnsi="Calibri" w:cs="Calibri"/>
          <w:sz w:val="22"/>
          <w:szCs w:val="22"/>
        </w:rPr>
      </w:pPr>
    </w:p>
    <w:p w14:paraId="3E918677" w14:textId="6FE0549A" w:rsidR="0077558F" w:rsidRDefault="0077558F" w:rsidP="0056748C">
      <w:pPr>
        <w:tabs>
          <w:tab w:val="left" w:pos="284"/>
        </w:tabs>
        <w:spacing w:line="360" w:lineRule="auto"/>
        <w:jc w:val="both"/>
        <w:rPr>
          <w:rFonts w:ascii="Calibri" w:hAnsi="Calibri" w:cs="Calibri"/>
          <w:sz w:val="22"/>
          <w:szCs w:val="22"/>
        </w:rPr>
      </w:pPr>
    </w:p>
    <w:p w14:paraId="0C1A7BD4" w14:textId="65069914" w:rsidR="0077558F" w:rsidRDefault="0077558F" w:rsidP="0056748C">
      <w:pPr>
        <w:tabs>
          <w:tab w:val="left" w:pos="284"/>
        </w:tabs>
        <w:spacing w:line="360" w:lineRule="auto"/>
        <w:jc w:val="both"/>
        <w:rPr>
          <w:rFonts w:ascii="Calibri" w:hAnsi="Calibri" w:cs="Calibri"/>
          <w:sz w:val="22"/>
          <w:szCs w:val="22"/>
        </w:rPr>
      </w:pPr>
    </w:p>
    <w:p w14:paraId="492B6EDB" w14:textId="22489230" w:rsidR="002E4BD9" w:rsidRDefault="002E4BD9" w:rsidP="0056748C">
      <w:pPr>
        <w:tabs>
          <w:tab w:val="left" w:pos="284"/>
        </w:tabs>
        <w:spacing w:line="360" w:lineRule="auto"/>
        <w:jc w:val="both"/>
        <w:rPr>
          <w:rFonts w:ascii="Calibri" w:hAnsi="Calibri" w:cs="Calibri"/>
          <w:sz w:val="22"/>
          <w:szCs w:val="22"/>
        </w:rPr>
      </w:pPr>
    </w:p>
    <w:p w14:paraId="551D11FB" w14:textId="77777777" w:rsidR="002E4BD9" w:rsidRPr="0056748C" w:rsidRDefault="002E4BD9" w:rsidP="0056748C">
      <w:pPr>
        <w:tabs>
          <w:tab w:val="left" w:pos="284"/>
        </w:tabs>
        <w:spacing w:line="360" w:lineRule="auto"/>
        <w:jc w:val="both"/>
        <w:rPr>
          <w:rFonts w:ascii="Calibri" w:hAnsi="Calibri" w:cs="Calibri"/>
          <w:sz w:val="22"/>
          <w:szCs w:val="22"/>
        </w:rPr>
      </w:pPr>
      <w:bookmarkStart w:id="0" w:name="_GoBack"/>
      <w:bookmarkEnd w:id="0"/>
    </w:p>
    <w:p w14:paraId="43627426" w14:textId="77777777" w:rsidR="0056748C" w:rsidRDefault="0056748C" w:rsidP="0077558F">
      <w:pPr>
        <w:tabs>
          <w:tab w:val="left" w:pos="284"/>
        </w:tabs>
        <w:spacing w:line="360" w:lineRule="auto"/>
        <w:jc w:val="center"/>
        <w:rPr>
          <w:rFonts w:ascii="Calibri" w:hAnsi="Calibri" w:cs="Calibri"/>
          <w:sz w:val="22"/>
          <w:szCs w:val="22"/>
        </w:rPr>
      </w:pPr>
      <w:r w:rsidRPr="0056748C">
        <w:rPr>
          <w:rFonts w:ascii="Calibri" w:hAnsi="Calibri" w:cs="Calibri"/>
          <w:sz w:val="22"/>
          <w:szCs w:val="22"/>
        </w:rPr>
        <w:lastRenderedPageBreak/>
        <w:t>ANEXO</w:t>
      </w:r>
    </w:p>
    <w:p w14:paraId="330EA18F" w14:textId="77777777" w:rsidR="0081349D" w:rsidRPr="0081349D" w:rsidRDefault="0081349D" w:rsidP="00C54D22">
      <w:pPr>
        <w:tabs>
          <w:tab w:val="left" w:pos="284"/>
        </w:tabs>
        <w:spacing w:line="360" w:lineRule="auto"/>
        <w:jc w:val="center"/>
        <w:rPr>
          <w:rFonts w:ascii="Calibri" w:hAnsi="Calibri" w:cs="Calibri"/>
          <w:sz w:val="22"/>
          <w:szCs w:val="22"/>
        </w:rPr>
      </w:pPr>
    </w:p>
    <w:p w14:paraId="5358B6ED" w14:textId="77777777" w:rsidR="0081349D" w:rsidRPr="0081349D" w:rsidRDefault="0081349D" w:rsidP="0056748C">
      <w:pPr>
        <w:tabs>
          <w:tab w:val="left" w:pos="284"/>
        </w:tabs>
        <w:spacing w:line="360" w:lineRule="auto"/>
        <w:rPr>
          <w:rFonts w:ascii="Calibri" w:hAnsi="Calibri" w:cs="Calibri"/>
          <w:b/>
          <w:sz w:val="22"/>
          <w:szCs w:val="22"/>
        </w:rPr>
      </w:pPr>
      <w:r w:rsidRPr="0081349D">
        <w:rPr>
          <w:rFonts w:ascii="Calibri" w:hAnsi="Calibri" w:cs="Calibri"/>
          <w:b/>
          <w:sz w:val="22"/>
          <w:szCs w:val="22"/>
        </w:rPr>
        <w:t xml:space="preserve">Regulamento de Prestação de Serviços à Comunidade pelo Instituto Politécnico de Portalegre </w:t>
      </w:r>
    </w:p>
    <w:p w14:paraId="0D6E82FC" w14:textId="77777777" w:rsidR="00B916BD" w:rsidRDefault="00B916BD" w:rsidP="00C54D22">
      <w:pPr>
        <w:tabs>
          <w:tab w:val="left" w:pos="284"/>
        </w:tabs>
        <w:spacing w:line="360" w:lineRule="auto"/>
        <w:jc w:val="center"/>
        <w:rPr>
          <w:rFonts w:ascii="Calibri" w:hAnsi="Calibri" w:cs="Calibri"/>
          <w:sz w:val="22"/>
          <w:szCs w:val="22"/>
        </w:rPr>
      </w:pPr>
    </w:p>
    <w:p w14:paraId="63A3ABB3" w14:textId="77777777" w:rsidR="0081349D" w:rsidRPr="0081349D" w:rsidRDefault="0081349D" w:rsidP="00C54D22">
      <w:pPr>
        <w:tabs>
          <w:tab w:val="left" w:pos="284"/>
        </w:tabs>
        <w:spacing w:line="360" w:lineRule="auto"/>
        <w:jc w:val="center"/>
        <w:rPr>
          <w:rFonts w:ascii="Calibri" w:hAnsi="Calibri" w:cs="Calibri"/>
          <w:sz w:val="22"/>
          <w:szCs w:val="22"/>
        </w:rPr>
      </w:pPr>
      <w:r w:rsidRPr="0081349D">
        <w:rPr>
          <w:rFonts w:ascii="Calibri" w:hAnsi="Calibri" w:cs="Calibri"/>
          <w:sz w:val="22"/>
          <w:szCs w:val="22"/>
        </w:rPr>
        <w:t>Artigo 1.º</w:t>
      </w:r>
    </w:p>
    <w:p w14:paraId="18FEEE09" w14:textId="77777777" w:rsidR="0081349D" w:rsidRPr="0081349D" w:rsidRDefault="0081349D" w:rsidP="00C54D22">
      <w:pPr>
        <w:tabs>
          <w:tab w:val="left" w:pos="284"/>
        </w:tabs>
        <w:spacing w:line="360" w:lineRule="auto"/>
        <w:jc w:val="center"/>
        <w:rPr>
          <w:rFonts w:ascii="Calibri" w:hAnsi="Calibri" w:cs="Calibri"/>
          <w:b/>
          <w:sz w:val="22"/>
          <w:szCs w:val="22"/>
        </w:rPr>
      </w:pPr>
      <w:r w:rsidRPr="0081349D">
        <w:rPr>
          <w:rFonts w:ascii="Calibri" w:hAnsi="Calibri" w:cs="Calibri"/>
          <w:b/>
          <w:sz w:val="22"/>
          <w:szCs w:val="22"/>
        </w:rPr>
        <w:t xml:space="preserve">Objeto e âmbito </w:t>
      </w:r>
    </w:p>
    <w:p w14:paraId="06FE9A5A" w14:textId="77777777" w:rsidR="0081349D" w:rsidRPr="0081349D" w:rsidRDefault="0081349D" w:rsidP="00C54D22">
      <w:pPr>
        <w:tabs>
          <w:tab w:val="left" w:pos="284"/>
        </w:tabs>
        <w:spacing w:line="360" w:lineRule="auto"/>
        <w:jc w:val="both"/>
        <w:rPr>
          <w:rFonts w:ascii="Calibri" w:hAnsi="Calibri" w:cs="Calibri"/>
          <w:sz w:val="22"/>
          <w:szCs w:val="22"/>
        </w:rPr>
      </w:pPr>
      <w:r w:rsidRPr="0081349D">
        <w:rPr>
          <w:rFonts w:ascii="Calibri" w:hAnsi="Calibri" w:cs="Calibri"/>
          <w:sz w:val="22"/>
          <w:szCs w:val="22"/>
        </w:rPr>
        <w:t xml:space="preserve">1 – O presente regulamento consagra as normas aplicáveis às prestações de serviços realizadas pelo Instituto Politécnico de Portalegre, adiante designado por IPP, no qual se integram as suas unidades orgânicas (UO), unidades de investigação (UI), unidades funcionais de suporte à atividade académica, à atividade de gestão e de serviços à comunidade e quaisquer outras unidades criadas para a prossecução dos objetivos deste Instituto. </w:t>
      </w:r>
    </w:p>
    <w:p w14:paraId="70742251" w14:textId="77777777" w:rsidR="0081349D" w:rsidRPr="0081349D" w:rsidRDefault="0081349D" w:rsidP="00C54D22">
      <w:pPr>
        <w:tabs>
          <w:tab w:val="left" w:pos="284"/>
        </w:tabs>
        <w:spacing w:line="360" w:lineRule="auto"/>
        <w:jc w:val="both"/>
        <w:rPr>
          <w:rFonts w:ascii="Calibri" w:hAnsi="Calibri" w:cs="Calibri"/>
          <w:sz w:val="22"/>
          <w:szCs w:val="22"/>
        </w:rPr>
      </w:pPr>
      <w:r w:rsidRPr="0081349D">
        <w:rPr>
          <w:rFonts w:ascii="Calibri" w:hAnsi="Calibri" w:cs="Calibri"/>
          <w:sz w:val="22"/>
          <w:szCs w:val="22"/>
        </w:rPr>
        <w:t>2 – O disposto no presente regulamento aplica-se a todos os docentes em tempo integral e pessoal não docente do IPP, envolvidos em atividades de prestação de serviços realizadas por este Instituto.</w:t>
      </w:r>
    </w:p>
    <w:p w14:paraId="32558366" w14:textId="77777777" w:rsidR="0081349D" w:rsidRPr="00910873" w:rsidRDefault="0081349D" w:rsidP="00C54D22">
      <w:pPr>
        <w:tabs>
          <w:tab w:val="left" w:pos="284"/>
        </w:tabs>
        <w:spacing w:line="360" w:lineRule="auto"/>
        <w:jc w:val="both"/>
        <w:rPr>
          <w:rFonts w:ascii="Calibri" w:hAnsi="Calibri" w:cs="Calibri"/>
          <w:sz w:val="22"/>
          <w:szCs w:val="22"/>
        </w:rPr>
      </w:pPr>
      <w:r w:rsidRPr="00910873">
        <w:rPr>
          <w:rFonts w:ascii="Calibri" w:hAnsi="Calibri" w:cs="Calibri"/>
          <w:sz w:val="22"/>
          <w:szCs w:val="22"/>
        </w:rPr>
        <w:t>3 – As prestações de serviço são realizadas por:</w:t>
      </w:r>
    </w:p>
    <w:p w14:paraId="159EB134" w14:textId="77777777" w:rsidR="0081349D" w:rsidRPr="00910873" w:rsidRDefault="0081349D" w:rsidP="00C54D22">
      <w:pPr>
        <w:numPr>
          <w:ilvl w:val="0"/>
          <w:numId w:val="24"/>
        </w:numPr>
        <w:tabs>
          <w:tab w:val="left" w:pos="284"/>
          <w:tab w:val="left" w:pos="426"/>
        </w:tabs>
        <w:spacing w:line="360" w:lineRule="auto"/>
        <w:ind w:left="0" w:firstLine="0"/>
        <w:jc w:val="both"/>
        <w:rPr>
          <w:rFonts w:ascii="Calibri" w:hAnsi="Calibri" w:cs="Calibri"/>
          <w:b/>
          <w:sz w:val="22"/>
          <w:szCs w:val="22"/>
        </w:rPr>
      </w:pPr>
      <w:r w:rsidRPr="00910873">
        <w:rPr>
          <w:rFonts w:ascii="Calibri" w:hAnsi="Calibri" w:cs="Calibri"/>
          <w:sz w:val="22"/>
          <w:szCs w:val="22"/>
        </w:rPr>
        <w:t xml:space="preserve">Docentes cuja distribuição de serviço docente (DSD) corresponda ao máximo legalmente previsto, </w:t>
      </w:r>
      <w:r w:rsidRPr="00910873">
        <w:rPr>
          <w:rFonts w:asciiTheme="minorHAnsi" w:hAnsiTheme="minorHAnsi" w:cstheme="minorHAnsi"/>
          <w:sz w:val="22"/>
          <w:szCs w:val="22"/>
        </w:rPr>
        <w:t>exceto quando o Presidente do IPP autorize situações específicas de manifesto interesse para o Instituto, devidamente fundamentadas;</w:t>
      </w:r>
    </w:p>
    <w:p w14:paraId="0400E6DE" w14:textId="77777777" w:rsidR="0081349D" w:rsidRPr="00BB08AA" w:rsidRDefault="0081349D" w:rsidP="00C54D22">
      <w:pPr>
        <w:numPr>
          <w:ilvl w:val="0"/>
          <w:numId w:val="24"/>
        </w:numPr>
        <w:tabs>
          <w:tab w:val="left" w:pos="284"/>
          <w:tab w:val="left" w:pos="426"/>
        </w:tabs>
        <w:spacing w:line="360" w:lineRule="auto"/>
        <w:ind w:left="0" w:firstLine="0"/>
        <w:jc w:val="both"/>
        <w:rPr>
          <w:rFonts w:ascii="Calibri" w:hAnsi="Calibri" w:cs="Calibri"/>
          <w:b/>
          <w:sz w:val="22"/>
          <w:szCs w:val="22"/>
        </w:rPr>
      </w:pPr>
      <w:r w:rsidRPr="00BB08AA">
        <w:rPr>
          <w:rFonts w:asciiTheme="minorHAnsi" w:hAnsiTheme="minorHAnsi" w:cstheme="minorHAnsi"/>
          <w:sz w:val="22"/>
          <w:szCs w:val="22"/>
        </w:rPr>
        <w:t>Não docentes que cumpram o horário de trabalho semanal de trinta e cinco horas, exceto quando o Presidente do IPP autorize situações específicas de manifesto interesse para o Instituto, devidamente fundamentadas.</w:t>
      </w:r>
    </w:p>
    <w:p w14:paraId="31A5975C" w14:textId="77777777" w:rsidR="00B916BD" w:rsidRPr="0081349D" w:rsidRDefault="00B916BD" w:rsidP="00C54D22">
      <w:pPr>
        <w:tabs>
          <w:tab w:val="left" w:pos="284"/>
          <w:tab w:val="left" w:pos="426"/>
        </w:tabs>
        <w:spacing w:line="360" w:lineRule="auto"/>
        <w:ind w:left="284"/>
        <w:jc w:val="both"/>
        <w:rPr>
          <w:rFonts w:ascii="Calibri" w:hAnsi="Calibri" w:cs="Calibri"/>
          <w:b/>
          <w:sz w:val="22"/>
          <w:szCs w:val="22"/>
        </w:rPr>
      </w:pPr>
    </w:p>
    <w:p w14:paraId="38AC6D8D" w14:textId="77777777" w:rsidR="0081349D" w:rsidRPr="0081349D" w:rsidRDefault="0081349D" w:rsidP="00C54D22">
      <w:pPr>
        <w:tabs>
          <w:tab w:val="left" w:pos="284"/>
        </w:tabs>
        <w:spacing w:line="360" w:lineRule="auto"/>
        <w:jc w:val="center"/>
        <w:rPr>
          <w:rFonts w:ascii="Calibri" w:hAnsi="Calibri" w:cs="Calibri"/>
          <w:sz w:val="22"/>
          <w:szCs w:val="22"/>
        </w:rPr>
      </w:pPr>
      <w:r w:rsidRPr="0081349D">
        <w:rPr>
          <w:rFonts w:ascii="Calibri" w:hAnsi="Calibri" w:cs="Calibri"/>
          <w:sz w:val="22"/>
          <w:szCs w:val="22"/>
        </w:rPr>
        <w:t xml:space="preserve">Artigo 2.º </w:t>
      </w:r>
    </w:p>
    <w:p w14:paraId="49F39EDA" w14:textId="77777777" w:rsidR="0081349D" w:rsidRPr="0081349D" w:rsidRDefault="0081349D" w:rsidP="00C54D22">
      <w:pPr>
        <w:tabs>
          <w:tab w:val="left" w:pos="284"/>
        </w:tabs>
        <w:spacing w:line="360" w:lineRule="auto"/>
        <w:jc w:val="center"/>
        <w:rPr>
          <w:rFonts w:ascii="Calibri" w:hAnsi="Calibri" w:cs="Calibri"/>
          <w:b/>
          <w:sz w:val="22"/>
          <w:szCs w:val="22"/>
        </w:rPr>
      </w:pPr>
      <w:r w:rsidRPr="0081349D">
        <w:rPr>
          <w:rFonts w:ascii="Calibri" w:hAnsi="Calibri" w:cs="Calibri"/>
          <w:b/>
          <w:sz w:val="22"/>
          <w:szCs w:val="22"/>
        </w:rPr>
        <w:t>Princípios</w:t>
      </w:r>
    </w:p>
    <w:p w14:paraId="2221E8DD" w14:textId="77777777" w:rsidR="0081349D" w:rsidRPr="0081349D" w:rsidRDefault="0081349D" w:rsidP="00C54D22">
      <w:pPr>
        <w:tabs>
          <w:tab w:val="left" w:pos="284"/>
        </w:tabs>
        <w:spacing w:line="360" w:lineRule="auto"/>
        <w:jc w:val="both"/>
        <w:rPr>
          <w:rFonts w:ascii="Calibri" w:hAnsi="Calibri" w:cs="Calibri"/>
          <w:sz w:val="22"/>
          <w:szCs w:val="22"/>
        </w:rPr>
      </w:pPr>
      <w:r w:rsidRPr="0081349D">
        <w:rPr>
          <w:rFonts w:ascii="Calibri" w:hAnsi="Calibri" w:cs="Calibri"/>
          <w:sz w:val="22"/>
          <w:szCs w:val="22"/>
        </w:rPr>
        <w:t>A prestação de serviços deverá atender aos seguintes princípios:</w:t>
      </w:r>
    </w:p>
    <w:p w14:paraId="09EF2DB2" w14:textId="77777777" w:rsidR="0081349D" w:rsidRPr="0081349D" w:rsidRDefault="0081349D" w:rsidP="00C54D22">
      <w:pPr>
        <w:numPr>
          <w:ilvl w:val="0"/>
          <w:numId w:val="14"/>
        </w:numPr>
        <w:tabs>
          <w:tab w:val="left" w:pos="284"/>
          <w:tab w:val="left" w:pos="567"/>
        </w:tabs>
        <w:spacing w:line="360" w:lineRule="auto"/>
        <w:ind w:left="0" w:firstLine="0"/>
        <w:jc w:val="both"/>
        <w:rPr>
          <w:rFonts w:ascii="Calibri" w:hAnsi="Calibri" w:cs="Calibri"/>
          <w:sz w:val="22"/>
          <w:szCs w:val="22"/>
        </w:rPr>
      </w:pPr>
      <w:r w:rsidRPr="0081349D">
        <w:rPr>
          <w:rFonts w:ascii="Calibri" w:hAnsi="Calibri" w:cs="Calibri"/>
          <w:sz w:val="22"/>
          <w:szCs w:val="22"/>
        </w:rPr>
        <w:t>Desenvolver atividades de reconhecida relevância científica, técnica e artística, adequadas à missão do IPP;</w:t>
      </w:r>
    </w:p>
    <w:p w14:paraId="37B8BD1D" w14:textId="77777777" w:rsidR="0081349D" w:rsidRPr="0081349D" w:rsidRDefault="0081349D" w:rsidP="00C54D22">
      <w:pPr>
        <w:numPr>
          <w:ilvl w:val="0"/>
          <w:numId w:val="14"/>
        </w:numPr>
        <w:tabs>
          <w:tab w:val="left" w:pos="284"/>
          <w:tab w:val="left" w:pos="567"/>
        </w:tabs>
        <w:spacing w:line="360" w:lineRule="auto"/>
        <w:ind w:left="0" w:firstLine="0"/>
        <w:jc w:val="both"/>
        <w:rPr>
          <w:rFonts w:ascii="Calibri" w:hAnsi="Calibri" w:cs="Calibri"/>
          <w:sz w:val="22"/>
          <w:szCs w:val="22"/>
        </w:rPr>
      </w:pPr>
      <w:r w:rsidRPr="0081349D">
        <w:rPr>
          <w:rFonts w:ascii="Calibri" w:hAnsi="Calibri" w:cs="Calibri"/>
          <w:sz w:val="22"/>
          <w:szCs w:val="22"/>
        </w:rPr>
        <w:t>Promover o empreendedorismo e o espírito de iniciativa dos seus colaboradores;</w:t>
      </w:r>
    </w:p>
    <w:p w14:paraId="453BC4E5" w14:textId="77777777" w:rsidR="0081349D" w:rsidRPr="0081349D" w:rsidRDefault="0081349D" w:rsidP="00C54D22">
      <w:pPr>
        <w:numPr>
          <w:ilvl w:val="0"/>
          <w:numId w:val="14"/>
        </w:numPr>
        <w:tabs>
          <w:tab w:val="left" w:pos="284"/>
          <w:tab w:val="left" w:pos="567"/>
        </w:tabs>
        <w:spacing w:line="360" w:lineRule="auto"/>
        <w:ind w:left="0" w:firstLine="0"/>
        <w:jc w:val="both"/>
        <w:rPr>
          <w:rFonts w:ascii="Calibri" w:hAnsi="Calibri" w:cs="Calibri"/>
          <w:sz w:val="22"/>
          <w:szCs w:val="22"/>
        </w:rPr>
      </w:pPr>
      <w:r w:rsidRPr="0081349D">
        <w:rPr>
          <w:rFonts w:ascii="Calibri" w:hAnsi="Calibri" w:cs="Calibri"/>
          <w:sz w:val="22"/>
          <w:szCs w:val="22"/>
        </w:rPr>
        <w:t>Cumprir o</w:t>
      </w:r>
      <w:r w:rsidRPr="0081349D">
        <w:rPr>
          <w:rFonts w:ascii="Calibri" w:hAnsi="Calibri" w:cs="Calibri"/>
          <w:color w:val="538135" w:themeColor="accent6" w:themeShade="BF"/>
          <w:sz w:val="22"/>
          <w:szCs w:val="22"/>
        </w:rPr>
        <w:t xml:space="preserve"> </w:t>
      </w:r>
      <w:r w:rsidRPr="0081349D">
        <w:rPr>
          <w:rFonts w:ascii="Calibri" w:hAnsi="Calibri" w:cs="Calibri"/>
          <w:sz w:val="22"/>
          <w:szCs w:val="22"/>
        </w:rPr>
        <w:t>enquadramento institucional, na medida</w:t>
      </w:r>
      <w:r w:rsidRPr="0081349D">
        <w:rPr>
          <w:rFonts w:ascii="Calibri" w:hAnsi="Calibri" w:cs="Calibri"/>
          <w:color w:val="538135" w:themeColor="accent6" w:themeShade="BF"/>
          <w:sz w:val="22"/>
          <w:szCs w:val="22"/>
        </w:rPr>
        <w:t xml:space="preserve"> </w:t>
      </w:r>
      <w:r w:rsidRPr="0081349D">
        <w:rPr>
          <w:rFonts w:ascii="Calibri" w:hAnsi="Calibri" w:cs="Calibri"/>
          <w:sz w:val="22"/>
          <w:szCs w:val="22"/>
        </w:rPr>
        <w:t>das atividades de prestações de serviços a desenvolver, materializado por celebração de contratos/acordos ou protocolos escritos;</w:t>
      </w:r>
    </w:p>
    <w:p w14:paraId="20FD6A59" w14:textId="77777777" w:rsidR="0081349D" w:rsidRPr="0081349D" w:rsidRDefault="0081349D" w:rsidP="00C54D22">
      <w:pPr>
        <w:numPr>
          <w:ilvl w:val="0"/>
          <w:numId w:val="14"/>
        </w:numPr>
        <w:tabs>
          <w:tab w:val="left" w:pos="284"/>
          <w:tab w:val="left" w:pos="567"/>
        </w:tabs>
        <w:spacing w:line="360" w:lineRule="auto"/>
        <w:ind w:left="0" w:firstLine="0"/>
        <w:jc w:val="both"/>
        <w:rPr>
          <w:rFonts w:ascii="Calibri" w:hAnsi="Calibri" w:cs="Calibri"/>
          <w:sz w:val="22"/>
          <w:szCs w:val="22"/>
        </w:rPr>
      </w:pPr>
      <w:r w:rsidRPr="0081349D">
        <w:rPr>
          <w:rFonts w:ascii="Calibri" w:hAnsi="Calibri" w:cs="Calibri"/>
          <w:sz w:val="22"/>
          <w:szCs w:val="22"/>
        </w:rPr>
        <w:lastRenderedPageBreak/>
        <w:t xml:space="preserve">Contribuir para a produção, utilização e transferência de conhecimento e tecnologia gerada no seio do IPP e, por este meio, satisfazer necessidades locais, regionais e nacionais, para dar resposta à procura de serviços especializados; </w:t>
      </w:r>
    </w:p>
    <w:p w14:paraId="34E5940D" w14:textId="77777777" w:rsidR="0081349D" w:rsidRPr="0081349D" w:rsidRDefault="0081349D" w:rsidP="00C54D22">
      <w:pPr>
        <w:numPr>
          <w:ilvl w:val="0"/>
          <w:numId w:val="14"/>
        </w:numPr>
        <w:tabs>
          <w:tab w:val="left" w:pos="284"/>
          <w:tab w:val="left" w:pos="567"/>
        </w:tabs>
        <w:spacing w:line="360" w:lineRule="auto"/>
        <w:ind w:left="0" w:firstLine="0"/>
        <w:jc w:val="both"/>
        <w:rPr>
          <w:rFonts w:ascii="Calibri" w:hAnsi="Calibri" w:cs="Calibri"/>
          <w:sz w:val="22"/>
          <w:szCs w:val="22"/>
        </w:rPr>
      </w:pPr>
      <w:r w:rsidRPr="0081349D">
        <w:rPr>
          <w:rFonts w:ascii="Calibri" w:hAnsi="Calibri" w:cs="Calibri"/>
          <w:sz w:val="22"/>
          <w:szCs w:val="22"/>
        </w:rPr>
        <w:t>Incentivar o desenvolvimento regional e a competitividade das empresas e organizações locais e regionais;</w:t>
      </w:r>
    </w:p>
    <w:p w14:paraId="666D87A5" w14:textId="77777777" w:rsidR="0081349D" w:rsidRPr="0081349D" w:rsidRDefault="0081349D" w:rsidP="00C54D22">
      <w:pPr>
        <w:numPr>
          <w:ilvl w:val="0"/>
          <w:numId w:val="14"/>
        </w:numPr>
        <w:tabs>
          <w:tab w:val="left" w:pos="284"/>
          <w:tab w:val="left" w:pos="567"/>
        </w:tabs>
        <w:spacing w:line="360" w:lineRule="auto"/>
        <w:ind w:left="0" w:firstLine="0"/>
        <w:jc w:val="both"/>
        <w:rPr>
          <w:rFonts w:ascii="Calibri" w:hAnsi="Calibri" w:cs="Calibri"/>
          <w:sz w:val="22"/>
          <w:szCs w:val="22"/>
        </w:rPr>
      </w:pPr>
      <w:r w:rsidRPr="0081349D">
        <w:rPr>
          <w:rFonts w:ascii="Calibri" w:hAnsi="Calibri" w:cs="Calibri"/>
          <w:sz w:val="22"/>
          <w:szCs w:val="22"/>
        </w:rPr>
        <w:t xml:space="preserve">Fomentar a realização de receitas próprias do IPP ou ainda para o incremento patrimonial em bens ou equipamentos do Instituto; </w:t>
      </w:r>
    </w:p>
    <w:p w14:paraId="12F9A561" w14:textId="77777777" w:rsidR="0081349D" w:rsidRPr="0081349D" w:rsidRDefault="0081349D" w:rsidP="00C54D22">
      <w:pPr>
        <w:numPr>
          <w:ilvl w:val="0"/>
          <w:numId w:val="14"/>
        </w:numPr>
        <w:tabs>
          <w:tab w:val="left" w:pos="284"/>
          <w:tab w:val="left" w:pos="567"/>
        </w:tabs>
        <w:spacing w:line="360" w:lineRule="auto"/>
        <w:ind w:left="0" w:firstLine="0"/>
        <w:jc w:val="both"/>
        <w:rPr>
          <w:rFonts w:ascii="Calibri" w:hAnsi="Calibri" w:cs="Calibri"/>
          <w:sz w:val="22"/>
          <w:szCs w:val="22"/>
        </w:rPr>
      </w:pPr>
      <w:r w:rsidRPr="0081349D">
        <w:rPr>
          <w:rFonts w:ascii="Calibri" w:hAnsi="Calibri" w:cs="Calibri"/>
          <w:sz w:val="22"/>
          <w:szCs w:val="22"/>
        </w:rPr>
        <w:t xml:space="preserve">Incorporar todos os custos para a realização das atividades, promovendo uma concorrência leal com outras entidades ou agentes prestadores de serviços; </w:t>
      </w:r>
    </w:p>
    <w:p w14:paraId="0E4A24F3" w14:textId="0AA90A61" w:rsidR="0081349D" w:rsidRPr="0081349D" w:rsidRDefault="0081349D" w:rsidP="00C54D22">
      <w:pPr>
        <w:numPr>
          <w:ilvl w:val="0"/>
          <w:numId w:val="14"/>
        </w:numPr>
        <w:tabs>
          <w:tab w:val="left" w:pos="284"/>
          <w:tab w:val="left" w:pos="567"/>
        </w:tabs>
        <w:spacing w:line="360" w:lineRule="auto"/>
        <w:ind w:left="0" w:firstLine="0"/>
        <w:jc w:val="both"/>
        <w:rPr>
          <w:rFonts w:ascii="Calibri" w:hAnsi="Calibri" w:cs="Calibri"/>
          <w:sz w:val="22"/>
          <w:szCs w:val="22"/>
        </w:rPr>
      </w:pPr>
      <w:r w:rsidRPr="0081349D">
        <w:rPr>
          <w:rFonts w:ascii="Calibri" w:hAnsi="Calibri" w:cs="Calibri"/>
          <w:sz w:val="22"/>
          <w:szCs w:val="22"/>
        </w:rPr>
        <w:t>Cumprir estritamente o no</w:t>
      </w:r>
      <w:r w:rsidR="0077558F">
        <w:rPr>
          <w:rFonts w:ascii="Calibri" w:hAnsi="Calibri" w:cs="Calibri"/>
          <w:sz w:val="22"/>
          <w:szCs w:val="22"/>
        </w:rPr>
        <w:t xml:space="preserve">rmativo vigente no IPP e </w:t>
      </w:r>
      <w:proofErr w:type="gramStart"/>
      <w:r w:rsidR="0077558F">
        <w:rPr>
          <w:rFonts w:ascii="Calibri" w:hAnsi="Calibri" w:cs="Calibri"/>
          <w:sz w:val="22"/>
          <w:szCs w:val="22"/>
        </w:rPr>
        <w:t xml:space="preserve">demais </w:t>
      </w:r>
      <w:r w:rsidRPr="0081349D">
        <w:rPr>
          <w:rFonts w:ascii="Calibri" w:hAnsi="Calibri" w:cs="Calibri"/>
          <w:sz w:val="22"/>
          <w:szCs w:val="22"/>
        </w:rPr>
        <w:t>legislação</w:t>
      </w:r>
      <w:proofErr w:type="gramEnd"/>
      <w:r w:rsidRPr="0081349D">
        <w:rPr>
          <w:rFonts w:ascii="Calibri" w:hAnsi="Calibri" w:cs="Calibri"/>
          <w:sz w:val="22"/>
          <w:szCs w:val="22"/>
        </w:rPr>
        <w:t>, sem prejuízo das normais atividades do Instituto no caso dos docentes, respeitando o regime de dedicação exclusiva.</w:t>
      </w:r>
    </w:p>
    <w:p w14:paraId="4D784648" w14:textId="77777777" w:rsidR="0081349D" w:rsidRDefault="0081349D" w:rsidP="00C54D22">
      <w:pPr>
        <w:tabs>
          <w:tab w:val="left" w:pos="284"/>
        </w:tabs>
        <w:spacing w:line="360" w:lineRule="auto"/>
        <w:jc w:val="center"/>
        <w:rPr>
          <w:rFonts w:ascii="Calibri" w:hAnsi="Calibri" w:cs="Calibri"/>
          <w:sz w:val="22"/>
          <w:szCs w:val="22"/>
        </w:rPr>
      </w:pPr>
    </w:p>
    <w:p w14:paraId="1A2D275A" w14:textId="77777777" w:rsidR="0062013E" w:rsidRPr="0081349D" w:rsidRDefault="0062013E" w:rsidP="00C54D22">
      <w:pPr>
        <w:tabs>
          <w:tab w:val="left" w:pos="284"/>
        </w:tabs>
        <w:spacing w:line="360" w:lineRule="auto"/>
        <w:jc w:val="center"/>
        <w:rPr>
          <w:rFonts w:ascii="Calibri" w:hAnsi="Calibri" w:cs="Calibri"/>
          <w:sz w:val="22"/>
          <w:szCs w:val="22"/>
        </w:rPr>
      </w:pPr>
    </w:p>
    <w:p w14:paraId="514B7073" w14:textId="77777777" w:rsidR="0081349D" w:rsidRPr="0081349D" w:rsidRDefault="0081349D" w:rsidP="00C54D22">
      <w:pPr>
        <w:tabs>
          <w:tab w:val="left" w:pos="284"/>
        </w:tabs>
        <w:spacing w:line="360" w:lineRule="auto"/>
        <w:jc w:val="center"/>
        <w:rPr>
          <w:rFonts w:ascii="Calibri" w:hAnsi="Calibri" w:cs="Calibri"/>
          <w:sz w:val="22"/>
          <w:szCs w:val="22"/>
        </w:rPr>
      </w:pPr>
      <w:r w:rsidRPr="0081349D">
        <w:rPr>
          <w:rFonts w:ascii="Calibri" w:hAnsi="Calibri" w:cs="Calibri"/>
          <w:sz w:val="22"/>
          <w:szCs w:val="22"/>
        </w:rPr>
        <w:t>Artigo 3.º</w:t>
      </w:r>
    </w:p>
    <w:p w14:paraId="5625D3ED" w14:textId="77777777" w:rsidR="0081349D" w:rsidRPr="0081349D" w:rsidRDefault="0081349D" w:rsidP="00C54D22">
      <w:pPr>
        <w:tabs>
          <w:tab w:val="left" w:pos="284"/>
        </w:tabs>
        <w:spacing w:line="360" w:lineRule="auto"/>
        <w:jc w:val="center"/>
        <w:rPr>
          <w:rFonts w:ascii="Calibri" w:hAnsi="Calibri" w:cs="Calibri"/>
          <w:b/>
          <w:sz w:val="22"/>
          <w:szCs w:val="22"/>
        </w:rPr>
      </w:pPr>
      <w:r w:rsidRPr="0081349D">
        <w:rPr>
          <w:rFonts w:ascii="Calibri" w:hAnsi="Calibri" w:cs="Calibri"/>
          <w:b/>
          <w:sz w:val="22"/>
          <w:szCs w:val="22"/>
        </w:rPr>
        <w:t xml:space="preserve">Conceitos </w:t>
      </w:r>
    </w:p>
    <w:p w14:paraId="0440175F" w14:textId="77777777" w:rsidR="0081349D" w:rsidRPr="0081349D" w:rsidRDefault="0081349D" w:rsidP="00C54D22">
      <w:pPr>
        <w:tabs>
          <w:tab w:val="left" w:pos="284"/>
        </w:tabs>
        <w:spacing w:line="360" w:lineRule="auto"/>
        <w:jc w:val="both"/>
        <w:rPr>
          <w:rFonts w:ascii="Calibri" w:hAnsi="Calibri" w:cs="Calibri"/>
          <w:sz w:val="22"/>
          <w:szCs w:val="22"/>
        </w:rPr>
      </w:pPr>
      <w:r w:rsidRPr="0081349D">
        <w:rPr>
          <w:rFonts w:ascii="Calibri" w:hAnsi="Calibri" w:cs="Calibri"/>
          <w:sz w:val="22"/>
          <w:szCs w:val="22"/>
        </w:rPr>
        <w:t xml:space="preserve">1 – Prestação de serviços, para efeitos deste regulamento, é o conjunto de atividades realizadas pelo IPP, executadas pelos seus docentes e não docentes, envolvendo meios humanos, instalações, equipamentos ou outros meios materiais, prestadas a quaisquer entidades externas, por solicitação das mesmas ou por iniciativa do IPP e cujos encargos sejam satisfeitos por receitas provenientes da referida prestação de serviços. </w:t>
      </w:r>
    </w:p>
    <w:p w14:paraId="29CD5D0C" w14:textId="77777777" w:rsidR="0081349D" w:rsidRPr="0081349D" w:rsidRDefault="0081349D" w:rsidP="00C54D22">
      <w:pPr>
        <w:tabs>
          <w:tab w:val="left" w:pos="284"/>
        </w:tabs>
        <w:spacing w:line="360" w:lineRule="auto"/>
        <w:jc w:val="both"/>
        <w:rPr>
          <w:rFonts w:ascii="Calibri" w:hAnsi="Calibri" w:cs="Calibri"/>
          <w:sz w:val="22"/>
          <w:szCs w:val="22"/>
        </w:rPr>
      </w:pPr>
      <w:r w:rsidRPr="0081349D">
        <w:rPr>
          <w:rFonts w:ascii="Calibri" w:hAnsi="Calibri" w:cs="Calibri"/>
          <w:sz w:val="22"/>
          <w:szCs w:val="22"/>
        </w:rPr>
        <w:t xml:space="preserve">2 – A prestação de serviços envolve, nomeadamente: </w:t>
      </w:r>
    </w:p>
    <w:p w14:paraId="46775E6A" w14:textId="77777777" w:rsidR="0081349D" w:rsidRPr="0081349D" w:rsidRDefault="0081349D" w:rsidP="00C54D22">
      <w:pPr>
        <w:numPr>
          <w:ilvl w:val="0"/>
          <w:numId w:val="13"/>
        </w:numPr>
        <w:tabs>
          <w:tab w:val="left" w:pos="284"/>
          <w:tab w:val="left" w:pos="567"/>
        </w:tabs>
        <w:spacing w:line="360" w:lineRule="auto"/>
        <w:ind w:left="0" w:firstLine="0"/>
        <w:jc w:val="both"/>
        <w:rPr>
          <w:rFonts w:ascii="Calibri" w:hAnsi="Calibri" w:cs="Calibri"/>
          <w:sz w:val="22"/>
          <w:szCs w:val="22"/>
        </w:rPr>
      </w:pPr>
      <w:r w:rsidRPr="0081349D">
        <w:rPr>
          <w:rFonts w:ascii="Calibri" w:hAnsi="Calibri" w:cs="Calibri"/>
          <w:sz w:val="22"/>
          <w:szCs w:val="22"/>
        </w:rPr>
        <w:t>Elaboração de estudos, projetos, pareceres, trabalhos de consultoria técnica e científica atividades de auditoria externa ou análogas, requeridas por entidades externas;</w:t>
      </w:r>
    </w:p>
    <w:p w14:paraId="6C6DE62A" w14:textId="77777777" w:rsidR="0081349D" w:rsidRPr="0081349D" w:rsidRDefault="0081349D" w:rsidP="00C54D22">
      <w:pPr>
        <w:numPr>
          <w:ilvl w:val="0"/>
          <w:numId w:val="13"/>
        </w:numPr>
        <w:tabs>
          <w:tab w:val="left" w:pos="284"/>
          <w:tab w:val="left" w:pos="567"/>
        </w:tabs>
        <w:spacing w:line="360" w:lineRule="auto"/>
        <w:ind w:left="0" w:firstLine="0"/>
        <w:jc w:val="both"/>
        <w:rPr>
          <w:rFonts w:ascii="Calibri" w:hAnsi="Calibri" w:cs="Calibri"/>
          <w:sz w:val="22"/>
          <w:szCs w:val="22"/>
        </w:rPr>
      </w:pPr>
      <w:r w:rsidRPr="0081349D">
        <w:rPr>
          <w:rFonts w:ascii="Calibri" w:hAnsi="Calibri" w:cs="Calibri"/>
          <w:sz w:val="22"/>
          <w:szCs w:val="22"/>
        </w:rPr>
        <w:t>Trabalhos de desenvolvimento ou investigação;</w:t>
      </w:r>
    </w:p>
    <w:p w14:paraId="4F23DB68" w14:textId="77777777" w:rsidR="0081349D" w:rsidRPr="0081349D" w:rsidRDefault="0081349D" w:rsidP="00C54D22">
      <w:pPr>
        <w:numPr>
          <w:ilvl w:val="0"/>
          <w:numId w:val="13"/>
        </w:numPr>
        <w:tabs>
          <w:tab w:val="left" w:pos="284"/>
          <w:tab w:val="left" w:pos="567"/>
        </w:tabs>
        <w:spacing w:line="360" w:lineRule="auto"/>
        <w:ind w:left="0" w:firstLine="0"/>
        <w:jc w:val="both"/>
        <w:rPr>
          <w:rFonts w:ascii="Calibri" w:hAnsi="Calibri" w:cs="Calibri"/>
          <w:sz w:val="22"/>
          <w:szCs w:val="22"/>
        </w:rPr>
      </w:pPr>
      <w:r w:rsidRPr="0081349D">
        <w:rPr>
          <w:rFonts w:ascii="Calibri" w:hAnsi="Calibri" w:cs="Calibri"/>
          <w:sz w:val="22"/>
          <w:szCs w:val="22"/>
        </w:rPr>
        <w:t>Elaboração de testes, ensaios e análises laboratoriais, não enquadráveis no âmbito da atividade corrente dos laboratórios, estabelecida especificamente pelo IPP;</w:t>
      </w:r>
    </w:p>
    <w:p w14:paraId="2DA51241" w14:textId="77777777" w:rsidR="0081349D" w:rsidRPr="0081349D" w:rsidRDefault="0081349D" w:rsidP="00C54D22">
      <w:pPr>
        <w:numPr>
          <w:ilvl w:val="0"/>
          <w:numId w:val="13"/>
        </w:numPr>
        <w:tabs>
          <w:tab w:val="left" w:pos="284"/>
          <w:tab w:val="left" w:pos="567"/>
        </w:tabs>
        <w:spacing w:line="360" w:lineRule="auto"/>
        <w:ind w:left="0" w:firstLine="0"/>
        <w:jc w:val="both"/>
        <w:rPr>
          <w:rFonts w:ascii="Calibri" w:hAnsi="Calibri" w:cs="Calibri"/>
          <w:sz w:val="22"/>
          <w:szCs w:val="22"/>
        </w:rPr>
      </w:pPr>
      <w:r w:rsidRPr="0081349D">
        <w:rPr>
          <w:rFonts w:ascii="Calibri" w:hAnsi="Calibri" w:cs="Calibri"/>
          <w:sz w:val="22"/>
          <w:szCs w:val="22"/>
        </w:rPr>
        <w:t>Participação de docentes e/ou não docentes do IPP em projetos promovidos por entidades externas, sem o IPP como entidade participante;</w:t>
      </w:r>
    </w:p>
    <w:p w14:paraId="30BA098D" w14:textId="77777777" w:rsidR="0081349D" w:rsidRPr="0081349D" w:rsidRDefault="0081349D" w:rsidP="00C54D22">
      <w:pPr>
        <w:numPr>
          <w:ilvl w:val="0"/>
          <w:numId w:val="13"/>
        </w:numPr>
        <w:tabs>
          <w:tab w:val="left" w:pos="284"/>
          <w:tab w:val="left" w:pos="567"/>
        </w:tabs>
        <w:spacing w:line="360" w:lineRule="auto"/>
        <w:ind w:left="0" w:firstLine="0"/>
        <w:jc w:val="both"/>
        <w:rPr>
          <w:rFonts w:ascii="Calibri" w:hAnsi="Calibri" w:cs="Calibri"/>
          <w:sz w:val="22"/>
          <w:szCs w:val="22"/>
        </w:rPr>
      </w:pPr>
      <w:r w:rsidRPr="0081349D">
        <w:rPr>
          <w:rFonts w:ascii="Calibri" w:hAnsi="Calibri" w:cs="Calibri"/>
          <w:sz w:val="22"/>
          <w:szCs w:val="22"/>
        </w:rPr>
        <w:t>Prestação de serviço docente em outras instituições de ensino superior;</w:t>
      </w:r>
    </w:p>
    <w:p w14:paraId="6C0D3A11" w14:textId="77777777" w:rsidR="0081349D" w:rsidRPr="0081349D" w:rsidRDefault="0081349D" w:rsidP="00C54D22">
      <w:pPr>
        <w:numPr>
          <w:ilvl w:val="0"/>
          <w:numId w:val="13"/>
        </w:numPr>
        <w:tabs>
          <w:tab w:val="left" w:pos="284"/>
          <w:tab w:val="left" w:pos="567"/>
        </w:tabs>
        <w:spacing w:line="360" w:lineRule="auto"/>
        <w:ind w:left="0" w:firstLine="0"/>
        <w:jc w:val="both"/>
        <w:rPr>
          <w:rFonts w:ascii="Calibri" w:hAnsi="Calibri" w:cs="Calibri"/>
          <w:sz w:val="22"/>
          <w:szCs w:val="22"/>
        </w:rPr>
      </w:pPr>
      <w:r w:rsidRPr="0081349D">
        <w:rPr>
          <w:rFonts w:ascii="Calibri" w:hAnsi="Calibri" w:cs="Calibri"/>
          <w:sz w:val="22"/>
          <w:szCs w:val="22"/>
        </w:rPr>
        <w:lastRenderedPageBreak/>
        <w:t>Realização de formação por solicitação de outras entidades não enquadrável no âmbito da atividade formativa realizada pelo Núcleo de Formação Contínua (adiante designado por NFC) e pelo Centro de Línguas e Cultura (adiante designado por CLIC) do IPP;</w:t>
      </w:r>
    </w:p>
    <w:p w14:paraId="527981D4" w14:textId="77777777" w:rsidR="0081349D" w:rsidRPr="0081349D" w:rsidRDefault="0081349D" w:rsidP="00C54D22">
      <w:pPr>
        <w:numPr>
          <w:ilvl w:val="0"/>
          <w:numId w:val="13"/>
        </w:numPr>
        <w:tabs>
          <w:tab w:val="left" w:pos="284"/>
          <w:tab w:val="left" w:pos="567"/>
        </w:tabs>
        <w:spacing w:line="360" w:lineRule="auto"/>
        <w:ind w:left="0" w:firstLine="0"/>
        <w:jc w:val="both"/>
        <w:rPr>
          <w:rFonts w:ascii="Calibri" w:hAnsi="Calibri" w:cs="Calibri"/>
          <w:sz w:val="22"/>
          <w:szCs w:val="22"/>
        </w:rPr>
      </w:pPr>
      <w:r w:rsidRPr="0081349D">
        <w:rPr>
          <w:rFonts w:ascii="Calibri" w:hAnsi="Calibri" w:cs="Calibri"/>
          <w:sz w:val="22"/>
          <w:szCs w:val="22"/>
        </w:rPr>
        <w:t>Utilização de instalações e equipamentos, não estabelecida pelo IPP;</w:t>
      </w:r>
    </w:p>
    <w:p w14:paraId="1A769256" w14:textId="77777777" w:rsidR="0081349D" w:rsidRPr="0081349D" w:rsidRDefault="0081349D" w:rsidP="00C54D22">
      <w:pPr>
        <w:tabs>
          <w:tab w:val="left" w:pos="284"/>
          <w:tab w:val="left" w:pos="567"/>
        </w:tabs>
        <w:spacing w:line="360" w:lineRule="auto"/>
        <w:jc w:val="both"/>
        <w:rPr>
          <w:rFonts w:ascii="Calibri" w:hAnsi="Calibri" w:cs="Calibri"/>
          <w:sz w:val="22"/>
          <w:szCs w:val="22"/>
        </w:rPr>
      </w:pPr>
      <w:r w:rsidRPr="0081349D">
        <w:rPr>
          <w:rFonts w:ascii="Calibri" w:hAnsi="Calibri" w:cs="Calibri"/>
          <w:sz w:val="22"/>
          <w:szCs w:val="22"/>
        </w:rPr>
        <w:t>3 – Entidade externa é a pessoa singular ou coletiva, pública ou privada, nacional ou estrangeira, que não integre o IPP e que, por sua solicitação ou por iniciativa do Instituto, celebre com este</w:t>
      </w:r>
      <w:r w:rsidR="00513FBA">
        <w:rPr>
          <w:rFonts w:ascii="Calibri" w:hAnsi="Calibri" w:cs="Calibri"/>
          <w:sz w:val="22"/>
          <w:szCs w:val="22"/>
        </w:rPr>
        <w:t xml:space="preserve">, </w:t>
      </w:r>
      <w:r w:rsidRPr="0081349D">
        <w:rPr>
          <w:rFonts w:ascii="Calibri" w:hAnsi="Calibri" w:cs="Calibri"/>
          <w:sz w:val="22"/>
          <w:szCs w:val="22"/>
        </w:rPr>
        <w:t>contratos/acordos ou protocolos escritos de prestação de serviços pelo Instituto.</w:t>
      </w:r>
    </w:p>
    <w:p w14:paraId="51D8AB6F" w14:textId="77777777" w:rsidR="0081349D" w:rsidRPr="0081349D" w:rsidRDefault="0081349D" w:rsidP="006C7787">
      <w:pPr>
        <w:tabs>
          <w:tab w:val="left" w:pos="0"/>
          <w:tab w:val="left" w:pos="567"/>
        </w:tabs>
        <w:spacing w:line="360" w:lineRule="auto"/>
        <w:jc w:val="both"/>
        <w:rPr>
          <w:rFonts w:ascii="Calibri" w:hAnsi="Calibri" w:cs="Calibri"/>
          <w:sz w:val="22"/>
          <w:szCs w:val="22"/>
        </w:rPr>
      </w:pPr>
      <w:r w:rsidRPr="0081349D">
        <w:rPr>
          <w:rFonts w:ascii="Calibri" w:hAnsi="Calibri" w:cs="Calibri"/>
          <w:sz w:val="22"/>
          <w:szCs w:val="22"/>
        </w:rPr>
        <w:t>4 – No âmbito financeiro:</w:t>
      </w:r>
    </w:p>
    <w:p w14:paraId="00359207" w14:textId="77777777" w:rsidR="0081349D" w:rsidRDefault="0081349D" w:rsidP="006C7787">
      <w:pPr>
        <w:numPr>
          <w:ilvl w:val="0"/>
          <w:numId w:val="21"/>
        </w:numPr>
        <w:tabs>
          <w:tab w:val="left" w:pos="0"/>
          <w:tab w:val="left" w:pos="284"/>
          <w:tab w:val="left" w:pos="851"/>
        </w:tabs>
        <w:spacing w:line="360" w:lineRule="auto"/>
        <w:ind w:left="0" w:firstLine="0"/>
        <w:jc w:val="both"/>
        <w:rPr>
          <w:rFonts w:ascii="Calibri" w:hAnsi="Calibri" w:cs="Calibri"/>
          <w:sz w:val="22"/>
          <w:szCs w:val="22"/>
        </w:rPr>
      </w:pPr>
      <w:r w:rsidRPr="0081349D">
        <w:rPr>
          <w:rFonts w:ascii="Calibri" w:hAnsi="Calibri" w:cs="Calibri"/>
          <w:sz w:val="22"/>
          <w:szCs w:val="22"/>
        </w:rPr>
        <w:t xml:space="preserve">Orçamento: valor monetário global estimado a receber pelo IPP pela prestação do serviço e a faturar à entidade externa. A obtenção deste valor tem por base o orçamento detalhado de acordo com o previsto na tabela 1 do Anexo I deste Regulamento e de uma proposta de prestação de serviço, </w:t>
      </w:r>
      <w:r w:rsidR="00513FBA">
        <w:rPr>
          <w:rFonts w:ascii="Calibri" w:hAnsi="Calibri" w:cs="Calibri"/>
          <w:sz w:val="22"/>
          <w:szCs w:val="22"/>
        </w:rPr>
        <w:t>aprovada de acordo com o estipulado</w:t>
      </w:r>
      <w:r w:rsidRPr="0081349D">
        <w:rPr>
          <w:rFonts w:ascii="Calibri" w:hAnsi="Calibri" w:cs="Calibri"/>
          <w:sz w:val="22"/>
          <w:szCs w:val="22"/>
        </w:rPr>
        <w:t xml:space="preserve"> </w:t>
      </w:r>
      <w:r w:rsidR="00513FBA">
        <w:rPr>
          <w:rFonts w:ascii="Calibri" w:hAnsi="Calibri" w:cs="Calibri"/>
          <w:sz w:val="22"/>
          <w:szCs w:val="22"/>
        </w:rPr>
        <w:t>n</w:t>
      </w:r>
      <w:r w:rsidRPr="0081349D">
        <w:rPr>
          <w:rFonts w:ascii="Calibri" w:hAnsi="Calibri" w:cs="Calibri"/>
          <w:sz w:val="22"/>
          <w:szCs w:val="22"/>
        </w:rPr>
        <w:t xml:space="preserve">o artigo 5.º; </w:t>
      </w:r>
    </w:p>
    <w:p w14:paraId="222FBBB6" w14:textId="77777777" w:rsidR="0081349D" w:rsidRPr="00061B6F" w:rsidRDefault="0081349D" w:rsidP="00230EF8">
      <w:pPr>
        <w:numPr>
          <w:ilvl w:val="0"/>
          <w:numId w:val="21"/>
        </w:numPr>
        <w:tabs>
          <w:tab w:val="left" w:pos="0"/>
          <w:tab w:val="left" w:pos="284"/>
          <w:tab w:val="left" w:pos="709"/>
          <w:tab w:val="left" w:pos="851"/>
        </w:tabs>
        <w:spacing w:line="360" w:lineRule="auto"/>
        <w:ind w:left="0" w:firstLine="0"/>
        <w:jc w:val="both"/>
        <w:rPr>
          <w:rFonts w:ascii="Calibri" w:hAnsi="Calibri" w:cs="Calibri"/>
          <w:sz w:val="22"/>
          <w:szCs w:val="22"/>
        </w:rPr>
      </w:pPr>
      <w:r w:rsidRPr="0081349D">
        <w:rPr>
          <w:rFonts w:ascii="Calibri" w:hAnsi="Calibri" w:cs="Calibri"/>
          <w:sz w:val="22"/>
          <w:szCs w:val="22"/>
        </w:rPr>
        <w:t>Despesas de funcionamento: conjunto de gastos por parte do IPP para a realização da prestação de serviço em causa, incluindo-se nestes, os recursos humanos, as missões (deslocações e ajudas de custo), os bens ou serviços não inventariáveis</w:t>
      </w:r>
      <w:r w:rsidR="00513FBA">
        <w:rPr>
          <w:rFonts w:ascii="Calibri" w:hAnsi="Calibri" w:cs="Calibri"/>
          <w:sz w:val="22"/>
          <w:szCs w:val="22"/>
        </w:rPr>
        <w:t>, os seguros</w:t>
      </w:r>
      <w:r w:rsidRPr="0081349D">
        <w:rPr>
          <w:rFonts w:ascii="Calibri" w:hAnsi="Calibri" w:cs="Calibri"/>
          <w:sz w:val="22"/>
          <w:szCs w:val="22"/>
        </w:rPr>
        <w:t xml:space="preserve"> e os gastos gerais com </w:t>
      </w:r>
      <w:r w:rsidR="00D77F64">
        <w:rPr>
          <w:rFonts w:ascii="Calibri" w:hAnsi="Calibri" w:cs="Calibri"/>
          <w:sz w:val="22"/>
          <w:szCs w:val="22"/>
        </w:rPr>
        <w:t xml:space="preserve">a aquisição </w:t>
      </w:r>
      <w:r w:rsidR="008A5CC8">
        <w:rPr>
          <w:rFonts w:ascii="Calibri" w:hAnsi="Calibri" w:cs="Calibri"/>
          <w:sz w:val="22"/>
          <w:szCs w:val="22"/>
        </w:rPr>
        <w:t xml:space="preserve">e/ou </w:t>
      </w:r>
      <w:r w:rsidRPr="00061B6F">
        <w:rPr>
          <w:rFonts w:ascii="Calibri" w:hAnsi="Calibri" w:cs="Calibri"/>
          <w:sz w:val="22"/>
          <w:szCs w:val="22"/>
        </w:rPr>
        <w:t>utilização de equipamento;</w:t>
      </w:r>
    </w:p>
    <w:p w14:paraId="1C40EC32" w14:textId="77777777" w:rsidR="0081349D" w:rsidRPr="00061B6F" w:rsidRDefault="0081349D" w:rsidP="00230EF8">
      <w:pPr>
        <w:numPr>
          <w:ilvl w:val="0"/>
          <w:numId w:val="21"/>
        </w:numPr>
        <w:tabs>
          <w:tab w:val="left" w:pos="0"/>
          <w:tab w:val="left" w:pos="284"/>
        </w:tabs>
        <w:spacing w:line="360" w:lineRule="auto"/>
        <w:ind w:left="0" w:firstLine="0"/>
        <w:jc w:val="both"/>
        <w:rPr>
          <w:rFonts w:ascii="Calibri" w:hAnsi="Calibri" w:cs="Calibri"/>
          <w:sz w:val="22"/>
          <w:szCs w:val="22"/>
        </w:rPr>
      </w:pPr>
      <w:r w:rsidRPr="00061B6F">
        <w:rPr>
          <w:rFonts w:ascii="Calibri" w:hAnsi="Calibri" w:cs="Calibri"/>
          <w:sz w:val="22"/>
          <w:szCs w:val="22"/>
        </w:rPr>
        <w:t xml:space="preserve">Overheads: valor líquido, a receber pelo IPP, calculado como uma percentagem sobre o total </w:t>
      </w:r>
      <w:r w:rsidR="00954829" w:rsidRPr="00061B6F">
        <w:rPr>
          <w:rFonts w:ascii="Calibri" w:hAnsi="Calibri" w:cs="Calibri"/>
          <w:sz w:val="22"/>
          <w:szCs w:val="22"/>
        </w:rPr>
        <w:t>do orçamento</w:t>
      </w:r>
      <w:r w:rsidRPr="00061B6F">
        <w:rPr>
          <w:rFonts w:ascii="Calibri" w:hAnsi="Calibri" w:cs="Calibri"/>
          <w:sz w:val="22"/>
          <w:szCs w:val="22"/>
        </w:rPr>
        <w:t>;</w:t>
      </w:r>
    </w:p>
    <w:p w14:paraId="01B1E913" w14:textId="77777777" w:rsidR="0081349D" w:rsidRPr="0081349D" w:rsidRDefault="0081349D" w:rsidP="00C54D22">
      <w:pPr>
        <w:tabs>
          <w:tab w:val="left" w:pos="284"/>
          <w:tab w:val="left" w:pos="567"/>
        </w:tabs>
        <w:spacing w:line="360" w:lineRule="auto"/>
        <w:ind w:left="567"/>
        <w:jc w:val="both"/>
        <w:rPr>
          <w:rFonts w:ascii="Calibri" w:hAnsi="Calibri" w:cs="Calibri"/>
          <w:sz w:val="22"/>
          <w:szCs w:val="22"/>
        </w:rPr>
      </w:pPr>
    </w:p>
    <w:p w14:paraId="21472624" w14:textId="77777777" w:rsidR="0081349D" w:rsidRPr="0081349D" w:rsidRDefault="0081349D" w:rsidP="00C54D22">
      <w:pPr>
        <w:tabs>
          <w:tab w:val="left" w:pos="284"/>
        </w:tabs>
        <w:spacing w:line="360" w:lineRule="auto"/>
        <w:jc w:val="center"/>
        <w:rPr>
          <w:rFonts w:ascii="Calibri" w:hAnsi="Calibri" w:cs="Calibri"/>
          <w:sz w:val="22"/>
          <w:szCs w:val="22"/>
        </w:rPr>
      </w:pPr>
      <w:r w:rsidRPr="0081349D">
        <w:rPr>
          <w:rFonts w:ascii="Calibri" w:hAnsi="Calibri" w:cs="Calibri"/>
          <w:sz w:val="22"/>
          <w:szCs w:val="22"/>
        </w:rPr>
        <w:t xml:space="preserve">Artigo 4.º </w:t>
      </w:r>
    </w:p>
    <w:p w14:paraId="418EFB50" w14:textId="77777777" w:rsidR="0081349D" w:rsidRPr="0081349D" w:rsidRDefault="0081349D" w:rsidP="00C54D22">
      <w:pPr>
        <w:tabs>
          <w:tab w:val="left" w:pos="284"/>
        </w:tabs>
        <w:spacing w:line="360" w:lineRule="auto"/>
        <w:jc w:val="center"/>
        <w:rPr>
          <w:rFonts w:ascii="Calibri" w:hAnsi="Calibri" w:cs="Calibri"/>
          <w:b/>
          <w:sz w:val="22"/>
          <w:szCs w:val="22"/>
        </w:rPr>
      </w:pPr>
      <w:r w:rsidRPr="0081349D">
        <w:rPr>
          <w:rFonts w:ascii="Calibri" w:hAnsi="Calibri" w:cs="Calibri"/>
          <w:b/>
          <w:sz w:val="22"/>
          <w:szCs w:val="22"/>
        </w:rPr>
        <w:t>Formalização</w:t>
      </w:r>
    </w:p>
    <w:p w14:paraId="254BFA70" w14:textId="77777777" w:rsidR="0081349D" w:rsidRPr="0081349D" w:rsidRDefault="0081349D" w:rsidP="006D3647">
      <w:pPr>
        <w:numPr>
          <w:ilvl w:val="0"/>
          <w:numId w:val="23"/>
        </w:numPr>
        <w:tabs>
          <w:tab w:val="left" w:pos="142"/>
        </w:tabs>
        <w:spacing w:line="360" w:lineRule="auto"/>
        <w:ind w:left="0" w:firstLine="0"/>
        <w:jc w:val="both"/>
        <w:rPr>
          <w:rFonts w:ascii="Calibri" w:hAnsi="Calibri" w:cs="Calibri"/>
          <w:sz w:val="22"/>
          <w:szCs w:val="22"/>
        </w:rPr>
      </w:pPr>
      <w:r w:rsidRPr="0081349D">
        <w:rPr>
          <w:rFonts w:ascii="Calibri" w:hAnsi="Calibri" w:cs="Calibri"/>
          <w:sz w:val="22"/>
          <w:szCs w:val="22"/>
        </w:rPr>
        <w:t>– A formalização da prestação de serviço pode realizar-se através de:</w:t>
      </w:r>
    </w:p>
    <w:p w14:paraId="6ED37460" w14:textId="77777777" w:rsidR="0081349D" w:rsidRPr="0081349D" w:rsidRDefault="0081349D" w:rsidP="00C54D22">
      <w:pPr>
        <w:numPr>
          <w:ilvl w:val="0"/>
          <w:numId w:val="12"/>
        </w:numPr>
        <w:tabs>
          <w:tab w:val="left" w:pos="284"/>
        </w:tabs>
        <w:spacing w:line="360" w:lineRule="auto"/>
        <w:ind w:left="0" w:firstLine="0"/>
        <w:jc w:val="both"/>
        <w:rPr>
          <w:rFonts w:ascii="Calibri" w:hAnsi="Calibri" w:cs="Calibri"/>
          <w:sz w:val="22"/>
          <w:szCs w:val="22"/>
        </w:rPr>
      </w:pPr>
      <w:r w:rsidRPr="0081349D">
        <w:rPr>
          <w:rFonts w:ascii="Calibri" w:hAnsi="Calibri" w:cs="Calibri"/>
          <w:sz w:val="22"/>
          <w:szCs w:val="22"/>
        </w:rPr>
        <w:t>Celebração de um contrato/acordo ou protocolo escrito entre o IPP e as entidades externas envolvidas; ou</w:t>
      </w:r>
    </w:p>
    <w:p w14:paraId="412470F9" w14:textId="77777777" w:rsidR="0081349D" w:rsidRPr="0081349D" w:rsidRDefault="0081349D" w:rsidP="00C54D22">
      <w:pPr>
        <w:numPr>
          <w:ilvl w:val="0"/>
          <w:numId w:val="12"/>
        </w:numPr>
        <w:tabs>
          <w:tab w:val="left" w:pos="284"/>
          <w:tab w:val="left" w:pos="567"/>
        </w:tabs>
        <w:spacing w:line="360" w:lineRule="auto"/>
        <w:ind w:left="0" w:firstLine="0"/>
        <w:jc w:val="both"/>
        <w:rPr>
          <w:rFonts w:ascii="Calibri" w:hAnsi="Calibri" w:cs="Calibri"/>
          <w:sz w:val="22"/>
          <w:szCs w:val="22"/>
        </w:rPr>
      </w:pPr>
      <w:r w:rsidRPr="0081349D">
        <w:rPr>
          <w:rFonts w:ascii="Calibri" w:hAnsi="Calibri" w:cs="Calibri"/>
          <w:sz w:val="22"/>
          <w:szCs w:val="22"/>
        </w:rPr>
        <w:t>Requisição por parte de entidades externas, para os casos em que a prestação de serviço se revista unicamente na utilização de instalações e equipamentos ou de serviços tipificados, cujos custos unitários constam de tabelas de preços aprovadas pelo Conselho de Gestão do IPP.</w:t>
      </w:r>
    </w:p>
    <w:p w14:paraId="2E0EE217" w14:textId="77777777" w:rsidR="0081349D" w:rsidRPr="0081349D" w:rsidRDefault="0081349D" w:rsidP="00C54D22">
      <w:pPr>
        <w:tabs>
          <w:tab w:val="left" w:pos="284"/>
        </w:tabs>
        <w:spacing w:line="360" w:lineRule="auto"/>
        <w:jc w:val="both"/>
        <w:rPr>
          <w:rFonts w:ascii="Calibri" w:hAnsi="Calibri" w:cs="Calibri"/>
          <w:sz w:val="22"/>
          <w:szCs w:val="22"/>
        </w:rPr>
      </w:pPr>
      <w:r w:rsidRPr="0081349D">
        <w:rPr>
          <w:rFonts w:ascii="Calibri" w:hAnsi="Calibri" w:cs="Calibri"/>
          <w:sz w:val="22"/>
          <w:szCs w:val="22"/>
        </w:rPr>
        <w:t xml:space="preserve">2 – O contrato/acordo ou protocolo deverá estabelecer, nomeadamente: </w:t>
      </w:r>
    </w:p>
    <w:p w14:paraId="0C0459D6" w14:textId="77777777" w:rsidR="0081349D" w:rsidRPr="00061B6F" w:rsidRDefault="0081349D" w:rsidP="00000BB2">
      <w:pPr>
        <w:numPr>
          <w:ilvl w:val="0"/>
          <w:numId w:val="15"/>
        </w:numPr>
        <w:tabs>
          <w:tab w:val="left" w:pos="284"/>
          <w:tab w:val="left" w:pos="567"/>
        </w:tabs>
        <w:spacing w:line="360" w:lineRule="auto"/>
        <w:ind w:left="0" w:firstLine="0"/>
        <w:jc w:val="both"/>
        <w:rPr>
          <w:rFonts w:ascii="Calibri" w:hAnsi="Calibri" w:cs="Calibri"/>
          <w:sz w:val="22"/>
          <w:szCs w:val="22"/>
        </w:rPr>
      </w:pPr>
      <w:r w:rsidRPr="0081349D">
        <w:rPr>
          <w:rFonts w:ascii="Calibri" w:hAnsi="Calibri" w:cs="Calibri"/>
          <w:sz w:val="22"/>
          <w:szCs w:val="22"/>
        </w:rPr>
        <w:t>As atividades a desenvolver, os recursos humanos e mater</w:t>
      </w:r>
      <w:r w:rsidR="00000BB2">
        <w:rPr>
          <w:rFonts w:ascii="Calibri" w:hAnsi="Calibri" w:cs="Calibri"/>
          <w:sz w:val="22"/>
          <w:szCs w:val="22"/>
        </w:rPr>
        <w:t xml:space="preserve">iais envolvidos, os resultados </w:t>
      </w:r>
      <w:r w:rsidRPr="0081349D">
        <w:rPr>
          <w:rFonts w:ascii="Calibri" w:hAnsi="Calibri" w:cs="Calibri"/>
          <w:sz w:val="22"/>
          <w:szCs w:val="22"/>
        </w:rPr>
        <w:t>esperados</w:t>
      </w:r>
      <w:r w:rsidR="00000BB2">
        <w:rPr>
          <w:rFonts w:ascii="Calibri" w:hAnsi="Calibri" w:cs="Calibri"/>
          <w:sz w:val="22"/>
          <w:szCs w:val="22"/>
        </w:rPr>
        <w:t xml:space="preserve"> </w:t>
      </w:r>
      <w:r w:rsidR="00000BB2" w:rsidRPr="00061B6F">
        <w:rPr>
          <w:rFonts w:ascii="Calibri" w:hAnsi="Calibri" w:cs="Calibri"/>
          <w:sz w:val="22"/>
          <w:szCs w:val="22"/>
        </w:rPr>
        <w:t>e o prazo de execução dos trabalhos</w:t>
      </w:r>
      <w:r w:rsidRPr="00061B6F">
        <w:rPr>
          <w:rFonts w:ascii="Calibri" w:hAnsi="Calibri" w:cs="Calibri"/>
          <w:sz w:val="22"/>
          <w:szCs w:val="22"/>
        </w:rPr>
        <w:t>;</w:t>
      </w:r>
    </w:p>
    <w:p w14:paraId="1DF7132D" w14:textId="77777777" w:rsidR="00242FC6" w:rsidRPr="00061B6F" w:rsidRDefault="0081349D" w:rsidP="00242FC6">
      <w:pPr>
        <w:numPr>
          <w:ilvl w:val="0"/>
          <w:numId w:val="15"/>
        </w:numPr>
        <w:tabs>
          <w:tab w:val="left" w:pos="284"/>
          <w:tab w:val="left" w:pos="567"/>
        </w:tabs>
        <w:spacing w:line="360" w:lineRule="auto"/>
        <w:ind w:left="0" w:firstLine="0"/>
        <w:jc w:val="both"/>
        <w:rPr>
          <w:rFonts w:ascii="Calibri" w:hAnsi="Calibri" w:cs="Calibri"/>
          <w:sz w:val="22"/>
          <w:szCs w:val="22"/>
        </w:rPr>
      </w:pPr>
      <w:r w:rsidRPr="00061B6F">
        <w:rPr>
          <w:rFonts w:ascii="Calibri" w:hAnsi="Calibri" w:cs="Calibri"/>
          <w:sz w:val="22"/>
          <w:szCs w:val="22"/>
        </w:rPr>
        <w:lastRenderedPageBreak/>
        <w:t xml:space="preserve">O valor orçamentado, elaborado de acordo com o Anexo 1 do presente Regulamento, </w:t>
      </w:r>
      <w:r w:rsidR="00242FC6" w:rsidRPr="00061B6F">
        <w:rPr>
          <w:rFonts w:ascii="Calibri" w:hAnsi="Calibri" w:cs="Calibri"/>
          <w:sz w:val="22"/>
          <w:szCs w:val="22"/>
        </w:rPr>
        <w:t>e as condições de pagamento;</w:t>
      </w:r>
    </w:p>
    <w:p w14:paraId="2AA7742D" w14:textId="77777777" w:rsidR="0081349D" w:rsidRPr="0081349D" w:rsidRDefault="0081349D" w:rsidP="00C54D22">
      <w:pPr>
        <w:numPr>
          <w:ilvl w:val="0"/>
          <w:numId w:val="15"/>
        </w:numPr>
        <w:tabs>
          <w:tab w:val="left" w:pos="284"/>
          <w:tab w:val="left" w:pos="567"/>
        </w:tabs>
        <w:spacing w:line="360" w:lineRule="auto"/>
        <w:ind w:left="0" w:firstLine="0"/>
        <w:jc w:val="both"/>
        <w:rPr>
          <w:rFonts w:ascii="Calibri" w:hAnsi="Calibri" w:cs="Calibri"/>
          <w:sz w:val="22"/>
          <w:szCs w:val="22"/>
        </w:rPr>
      </w:pPr>
      <w:r w:rsidRPr="0081349D">
        <w:rPr>
          <w:rFonts w:ascii="Calibri" w:hAnsi="Calibri" w:cs="Calibri"/>
          <w:sz w:val="22"/>
          <w:szCs w:val="22"/>
        </w:rPr>
        <w:t>A identificação de um responsável pela prestação de serviço independentemente do número de colaboradores envolvidos;</w:t>
      </w:r>
    </w:p>
    <w:p w14:paraId="7520991E" w14:textId="77777777" w:rsidR="0081349D" w:rsidRPr="0081349D" w:rsidRDefault="0081349D" w:rsidP="00C54D22">
      <w:pPr>
        <w:numPr>
          <w:ilvl w:val="0"/>
          <w:numId w:val="15"/>
        </w:numPr>
        <w:tabs>
          <w:tab w:val="left" w:pos="284"/>
          <w:tab w:val="left" w:pos="567"/>
        </w:tabs>
        <w:spacing w:line="360" w:lineRule="auto"/>
        <w:ind w:left="0" w:firstLine="0"/>
        <w:jc w:val="both"/>
        <w:rPr>
          <w:rFonts w:ascii="Calibri" w:hAnsi="Calibri" w:cs="Calibri"/>
          <w:sz w:val="22"/>
          <w:szCs w:val="22"/>
        </w:rPr>
      </w:pPr>
      <w:r w:rsidRPr="0081349D">
        <w:rPr>
          <w:rFonts w:ascii="Calibri" w:hAnsi="Calibri" w:cs="Calibri"/>
          <w:sz w:val="22"/>
          <w:szCs w:val="22"/>
        </w:rPr>
        <w:t>Cláusulas de confidencialidade sobre acesso à informação, se aplicável;</w:t>
      </w:r>
    </w:p>
    <w:p w14:paraId="7E9F0BA1" w14:textId="77777777" w:rsidR="0081349D" w:rsidRPr="0081349D" w:rsidRDefault="0081349D" w:rsidP="00C54D22">
      <w:pPr>
        <w:numPr>
          <w:ilvl w:val="0"/>
          <w:numId w:val="15"/>
        </w:numPr>
        <w:tabs>
          <w:tab w:val="left" w:pos="284"/>
          <w:tab w:val="left" w:pos="567"/>
        </w:tabs>
        <w:spacing w:line="360" w:lineRule="auto"/>
        <w:ind w:left="0" w:firstLine="0"/>
        <w:jc w:val="both"/>
        <w:rPr>
          <w:rFonts w:ascii="Calibri" w:hAnsi="Calibri" w:cs="Calibri"/>
          <w:sz w:val="22"/>
          <w:szCs w:val="22"/>
        </w:rPr>
      </w:pPr>
      <w:r w:rsidRPr="0081349D">
        <w:rPr>
          <w:rFonts w:ascii="Calibri" w:hAnsi="Calibri" w:cs="Calibri"/>
          <w:sz w:val="22"/>
          <w:szCs w:val="22"/>
        </w:rPr>
        <w:t>Cláusulas de salvaguarda de direitos de propriedade intelectual, que possam decorrer do trabalho a realizar, em cumprimento do Regulamento de Propriedade Intelectual do IPP.</w:t>
      </w:r>
    </w:p>
    <w:p w14:paraId="368E29E2" w14:textId="77777777" w:rsidR="0081349D" w:rsidRPr="0081349D" w:rsidRDefault="0081349D" w:rsidP="00C54D22">
      <w:pPr>
        <w:tabs>
          <w:tab w:val="left" w:pos="284"/>
        </w:tabs>
        <w:spacing w:line="360" w:lineRule="auto"/>
        <w:jc w:val="both"/>
        <w:rPr>
          <w:rFonts w:ascii="Calibri" w:hAnsi="Calibri" w:cs="Calibri"/>
          <w:sz w:val="22"/>
          <w:szCs w:val="22"/>
        </w:rPr>
      </w:pPr>
      <w:r w:rsidRPr="0081349D">
        <w:rPr>
          <w:rFonts w:ascii="Calibri" w:hAnsi="Calibri" w:cs="Calibri"/>
          <w:sz w:val="22"/>
          <w:szCs w:val="22"/>
        </w:rPr>
        <w:t>3 – No caso de projetos a submeter a entidades externas para financiamento, a formalização é feita através do próprio formulário de candidatura.</w:t>
      </w:r>
    </w:p>
    <w:p w14:paraId="06E98977" w14:textId="77777777" w:rsidR="0081349D" w:rsidRPr="0081349D" w:rsidRDefault="0081349D" w:rsidP="00C54D22">
      <w:pPr>
        <w:tabs>
          <w:tab w:val="left" w:pos="284"/>
        </w:tabs>
        <w:spacing w:line="360" w:lineRule="auto"/>
        <w:jc w:val="both"/>
        <w:rPr>
          <w:rFonts w:ascii="Calibri" w:hAnsi="Calibri" w:cs="Calibri"/>
          <w:sz w:val="22"/>
          <w:szCs w:val="22"/>
        </w:rPr>
      </w:pPr>
      <w:r w:rsidRPr="0081349D">
        <w:rPr>
          <w:rFonts w:ascii="Calibri" w:hAnsi="Calibri" w:cs="Calibri"/>
          <w:sz w:val="22"/>
          <w:szCs w:val="22"/>
        </w:rPr>
        <w:t>4 – Nos casos em que a prestação de serviços se traduza na lecionação noutras instituições</w:t>
      </w:r>
      <w:r w:rsidR="00061B6F">
        <w:rPr>
          <w:rFonts w:ascii="Calibri" w:hAnsi="Calibri" w:cs="Calibri"/>
          <w:sz w:val="22"/>
          <w:szCs w:val="22"/>
        </w:rPr>
        <w:t xml:space="preserve"> de ensino superior</w:t>
      </w:r>
      <w:r w:rsidRPr="0081349D">
        <w:rPr>
          <w:rFonts w:ascii="Calibri" w:hAnsi="Calibri" w:cs="Calibri"/>
          <w:sz w:val="22"/>
          <w:szCs w:val="22"/>
        </w:rPr>
        <w:t>, por parte de docentes do IPP, a mesma fica sujeita às seguintes condições:</w:t>
      </w:r>
    </w:p>
    <w:p w14:paraId="484B3CD9" w14:textId="77777777" w:rsidR="0081349D" w:rsidRDefault="0081349D" w:rsidP="00C54D22">
      <w:pPr>
        <w:numPr>
          <w:ilvl w:val="0"/>
          <w:numId w:val="16"/>
        </w:numPr>
        <w:tabs>
          <w:tab w:val="left" w:pos="284"/>
          <w:tab w:val="left" w:pos="567"/>
        </w:tabs>
        <w:spacing w:line="360" w:lineRule="auto"/>
        <w:ind w:left="0" w:firstLine="0"/>
        <w:jc w:val="both"/>
        <w:rPr>
          <w:rFonts w:ascii="Calibri" w:hAnsi="Calibri" w:cs="Calibri"/>
          <w:sz w:val="22"/>
          <w:szCs w:val="22"/>
        </w:rPr>
      </w:pPr>
      <w:r w:rsidRPr="0081349D">
        <w:rPr>
          <w:rFonts w:ascii="Calibri" w:hAnsi="Calibri" w:cs="Calibri"/>
          <w:sz w:val="22"/>
          <w:szCs w:val="22"/>
        </w:rPr>
        <w:t>Nas situações de dedicação exclusiva, cumprir os limites legais previstos no Artigo 34.º-A, alínea i) do ECPDESP;</w:t>
      </w:r>
    </w:p>
    <w:p w14:paraId="096A2787" w14:textId="77777777" w:rsidR="00954829" w:rsidRPr="0081349D" w:rsidRDefault="00954829" w:rsidP="00954829">
      <w:pPr>
        <w:numPr>
          <w:ilvl w:val="0"/>
          <w:numId w:val="16"/>
        </w:numPr>
        <w:tabs>
          <w:tab w:val="left" w:pos="284"/>
          <w:tab w:val="left" w:pos="567"/>
        </w:tabs>
        <w:spacing w:line="360" w:lineRule="auto"/>
        <w:ind w:left="0" w:firstLine="0"/>
        <w:jc w:val="both"/>
        <w:rPr>
          <w:rFonts w:ascii="Calibri" w:hAnsi="Calibri" w:cs="Calibri"/>
          <w:sz w:val="22"/>
          <w:szCs w:val="22"/>
        </w:rPr>
      </w:pPr>
      <w:r w:rsidRPr="0081349D">
        <w:rPr>
          <w:rFonts w:ascii="Calibri" w:hAnsi="Calibri" w:cs="Calibri"/>
          <w:sz w:val="22"/>
          <w:szCs w:val="22"/>
        </w:rPr>
        <w:t>Nas situações de acumulação, cumprir os limites legais previstos no artigo 40.º do Estatuto da Carreira do Pessoal Docente do Ensino Superior Politécnico (adiante designado ECPDESP);</w:t>
      </w:r>
    </w:p>
    <w:p w14:paraId="487B1F96" w14:textId="77777777" w:rsidR="0081349D" w:rsidRPr="0081349D" w:rsidRDefault="0081349D" w:rsidP="00C54D22">
      <w:pPr>
        <w:numPr>
          <w:ilvl w:val="0"/>
          <w:numId w:val="16"/>
        </w:numPr>
        <w:tabs>
          <w:tab w:val="left" w:pos="284"/>
          <w:tab w:val="left" w:pos="567"/>
        </w:tabs>
        <w:spacing w:line="360" w:lineRule="auto"/>
        <w:ind w:left="0" w:firstLine="0"/>
        <w:jc w:val="both"/>
        <w:rPr>
          <w:rFonts w:ascii="Calibri" w:hAnsi="Calibri" w:cs="Calibri"/>
          <w:sz w:val="22"/>
          <w:szCs w:val="22"/>
        </w:rPr>
      </w:pPr>
      <w:r w:rsidRPr="0081349D">
        <w:rPr>
          <w:rFonts w:ascii="Calibri" w:hAnsi="Calibri" w:cs="Calibri"/>
          <w:sz w:val="22"/>
          <w:szCs w:val="22"/>
        </w:rPr>
        <w:t>Estar suportada por um protocolo com a instituição requerente;</w:t>
      </w:r>
    </w:p>
    <w:p w14:paraId="3677AA84" w14:textId="77777777" w:rsidR="0081349D" w:rsidRPr="0081349D" w:rsidRDefault="0081349D" w:rsidP="00C54D22">
      <w:pPr>
        <w:numPr>
          <w:ilvl w:val="0"/>
          <w:numId w:val="16"/>
        </w:numPr>
        <w:tabs>
          <w:tab w:val="left" w:pos="284"/>
          <w:tab w:val="left" w:pos="567"/>
        </w:tabs>
        <w:spacing w:line="360" w:lineRule="auto"/>
        <w:ind w:left="0" w:firstLine="0"/>
        <w:jc w:val="both"/>
        <w:rPr>
          <w:rFonts w:ascii="Calibri" w:hAnsi="Calibri" w:cs="Calibri"/>
          <w:sz w:val="22"/>
          <w:szCs w:val="22"/>
        </w:rPr>
      </w:pPr>
      <w:r w:rsidRPr="0081349D">
        <w:rPr>
          <w:rFonts w:ascii="Calibri" w:hAnsi="Calibri" w:cs="Calibri"/>
          <w:sz w:val="22"/>
          <w:szCs w:val="22"/>
        </w:rPr>
        <w:t>Ter parecer favorável do Conselho Técnico-Científico (adiante designado CTC) da Unidade Orgânica (adiante designada UO) a que o docente está afeto.</w:t>
      </w:r>
    </w:p>
    <w:p w14:paraId="27D54872" w14:textId="77777777" w:rsidR="00B916BD" w:rsidRPr="0081349D" w:rsidRDefault="00B916BD" w:rsidP="00C54D22">
      <w:pPr>
        <w:tabs>
          <w:tab w:val="left" w:pos="284"/>
        </w:tabs>
        <w:spacing w:line="360" w:lineRule="auto"/>
        <w:jc w:val="center"/>
        <w:rPr>
          <w:rFonts w:ascii="Calibri" w:hAnsi="Calibri" w:cs="Calibri"/>
          <w:sz w:val="22"/>
          <w:szCs w:val="22"/>
        </w:rPr>
      </w:pPr>
    </w:p>
    <w:p w14:paraId="3C49039F" w14:textId="77777777" w:rsidR="0081349D" w:rsidRPr="0081349D" w:rsidRDefault="0081349D" w:rsidP="00C54D22">
      <w:pPr>
        <w:tabs>
          <w:tab w:val="left" w:pos="284"/>
        </w:tabs>
        <w:spacing w:line="360" w:lineRule="auto"/>
        <w:jc w:val="center"/>
        <w:rPr>
          <w:rFonts w:ascii="Calibri" w:hAnsi="Calibri" w:cs="Calibri"/>
          <w:sz w:val="22"/>
          <w:szCs w:val="22"/>
        </w:rPr>
      </w:pPr>
      <w:r w:rsidRPr="0081349D">
        <w:rPr>
          <w:rFonts w:ascii="Calibri" w:hAnsi="Calibri" w:cs="Calibri"/>
          <w:sz w:val="22"/>
          <w:szCs w:val="22"/>
        </w:rPr>
        <w:t xml:space="preserve">Artigo 5.º </w:t>
      </w:r>
    </w:p>
    <w:p w14:paraId="581CCC2B" w14:textId="77777777" w:rsidR="0081349D" w:rsidRPr="0081349D" w:rsidRDefault="0081349D" w:rsidP="00C54D22">
      <w:pPr>
        <w:tabs>
          <w:tab w:val="left" w:pos="284"/>
        </w:tabs>
        <w:spacing w:line="360" w:lineRule="auto"/>
        <w:jc w:val="center"/>
        <w:rPr>
          <w:rFonts w:ascii="Calibri" w:hAnsi="Calibri" w:cs="Calibri"/>
          <w:sz w:val="22"/>
          <w:szCs w:val="22"/>
        </w:rPr>
      </w:pPr>
      <w:r w:rsidRPr="0081349D">
        <w:rPr>
          <w:rFonts w:ascii="Calibri" w:hAnsi="Calibri" w:cs="Calibri"/>
          <w:b/>
          <w:sz w:val="22"/>
          <w:szCs w:val="22"/>
        </w:rPr>
        <w:t>Processo de decisão</w:t>
      </w:r>
    </w:p>
    <w:p w14:paraId="63D16C8E" w14:textId="77777777" w:rsidR="0081349D" w:rsidRPr="0081349D" w:rsidRDefault="0081349D" w:rsidP="00C54D22">
      <w:pPr>
        <w:tabs>
          <w:tab w:val="left" w:pos="284"/>
        </w:tabs>
        <w:spacing w:line="360" w:lineRule="auto"/>
        <w:jc w:val="both"/>
        <w:rPr>
          <w:rFonts w:ascii="Calibri" w:hAnsi="Calibri" w:cs="Calibri"/>
          <w:sz w:val="22"/>
          <w:szCs w:val="22"/>
        </w:rPr>
      </w:pPr>
      <w:r w:rsidRPr="0081349D">
        <w:rPr>
          <w:rFonts w:ascii="Calibri" w:hAnsi="Calibri" w:cs="Calibri"/>
          <w:sz w:val="22"/>
          <w:szCs w:val="22"/>
        </w:rPr>
        <w:t>A decisão sobre a realização da prestação de serviços compete ao Presidente do IPP, sob parecer do Pró-Presidente para a Investigação &amp; Inovação e, conforme os casos, d</w:t>
      </w:r>
      <w:r w:rsidR="00061B6F">
        <w:rPr>
          <w:rFonts w:ascii="Calibri" w:hAnsi="Calibri" w:cs="Calibri"/>
          <w:sz w:val="22"/>
          <w:szCs w:val="22"/>
        </w:rPr>
        <w:t>o Diretor das UO envolvidas</w:t>
      </w:r>
      <w:r w:rsidRPr="0081349D">
        <w:rPr>
          <w:rFonts w:ascii="Calibri" w:hAnsi="Calibri" w:cs="Calibri"/>
          <w:sz w:val="22"/>
          <w:szCs w:val="22"/>
        </w:rPr>
        <w:t>.</w:t>
      </w:r>
    </w:p>
    <w:p w14:paraId="743E62BE" w14:textId="77777777" w:rsidR="0081349D" w:rsidRPr="0081349D" w:rsidRDefault="0081349D" w:rsidP="00C54D22">
      <w:pPr>
        <w:tabs>
          <w:tab w:val="left" w:pos="284"/>
        </w:tabs>
        <w:spacing w:line="360" w:lineRule="auto"/>
        <w:jc w:val="center"/>
        <w:rPr>
          <w:rFonts w:ascii="Calibri" w:hAnsi="Calibri" w:cs="Calibri"/>
          <w:sz w:val="22"/>
          <w:szCs w:val="22"/>
        </w:rPr>
      </w:pPr>
    </w:p>
    <w:p w14:paraId="185F0717" w14:textId="77777777" w:rsidR="0081349D" w:rsidRPr="0081349D" w:rsidRDefault="0081349D" w:rsidP="00C54D22">
      <w:pPr>
        <w:tabs>
          <w:tab w:val="left" w:pos="284"/>
        </w:tabs>
        <w:spacing w:line="360" w:lineRule="auto"/>
        <w:jc w:val="center"/>
        <w:rPr>
          <w:rFonts w:ascii="Calibri" w:hAnsi="Calibri" w:cs="Calibri"/>
          <w:sz w:val="22"/>
          <w:szCs w:val="22"/>
        </w:rPr>
      </w:pPr>
      <w:r w:rsidRPr="0081349D">
        <w:rPr>
          <w:rFonts w:ascii="Calibri" w:hAnsi="Calibri" w:cs="Calibri"/>
          <w:sz w:val="22"/>
          <w:szCs w:val="22"/>
        </w:rPr>
        <w:t xml:space="preserve">Artigo 6.º </w:t>
      </w:r>
    </w:p>
    <w:p w14:paraId="109FBEC5" w14:textId="77777777" w:rsidR="0081349D" w:rsidRPr="0081349D" w:rsidRDefault="0081349D" w:rsidP="00C54D22">
      <w:pPr>
        <w:tabs>
          <w:tab w:val="left" w:pos="284"/>
        </w:tabs>
        <w:spacing w:line="360" w:lineRule="auto"/>
        <w:jc w:val="center"/>
        <w:rPr>
          <w:rFonts w:ascii="Calibri" w:hAnsi="Calibri" w:cs="Calibri"/>
          <w:b/>
          <w:sz w:val="22"/>
          <w:szCs w:val="22"/>
        </w:rPr>
      </w:pPr>
      <w:r w:rsidRPr="0081349D">
        <w:rPr>
          <w:rFonts w:ascii="Calibri" w:hAnsi="Calibri" w:cs="Calibri"/>
          <w:b/>
          <w:sz w:val="22"/>
          <w:szCs w:val="22"/>
        </w:rPr>
        <w:t>Gestão da prestação de serviços</w:t>
      </w:r>
    </w:p>
    <w:p w14:paraId="5B6654FF" w14:textId="77777777" w:rsidR="0081349D" w:rsidRPr="0081349D" w:rsidRDefault="0081349D" w:rsidP="00C54D22">
      <w:pPr>
        <w:tabs>
          <w:tab w:val="left" w:pos="284"/>
        </w:tabs>
        <w:spacing w:line="360" w:lineRule="auto"/>
        <w:jc w:val="both"/>
        <w:rPr>
          <w:rFonts w:ascii="Calibri" w:hAnsi="Calibri" w:cs="Calibri"/>
          <w:sz w:val="22"/>
          <w:szCs w:val="22"/>
        </w:rPr>
      </w:pPr>
      <w:r w:rsidRPr="0081349D">
        <w:rPr>
          <w:rFonts w:ascii="Calibri" w:hAnsi="Calibri" w:cs="Calibri"/>
          <w:sz w:val="22"/>
          <w:szCs w:val="22"/>
        </w:rPr>
        <w:t>1 – Para cada prestação de serv</w:t>
      </w:r>
      <w:r w:rsidR="00421565">
        <w:rPr>
          <w:rFonts w:ascii="Calibri" w:hAnsi="Calibri" w:cs="Calibri"/>
          <w:sz w:val="22"/>
          <w:szCs w:val="22"/>
        </w:rPr>
        <w:t xml:space="preserve">iço é designado um responsável </w:t>
      </w:r>
      <w:r w:rsidRPr="0081349D">
        <w:rPr>
          <w:rFonts w:ascii="Calibri" w:hAnsi="Calibri" w:cs="Calibri"/>
          <w:sz w:val="22"/>
          <w:szCs w:val="22"/>
        </w:rPr>
        <w:t>com a função de acompanhar permanentemente a execução daquela prestação, realizando a sua gestão técnica e a quem cabe:</w:t>
      </w:r>
    </w:p>
    <w:p w14:paraId="7FD794C6" w14:textId="77777777" w:rsidR="0081349D" w:rsidRPr="0081349D" w:rsidRDefault="0081349D" w:rsidP="00FC4F22">
      <w:pPr>
        <w:numPr>
          <w:ilvl w:val="0"/>
          <w:numId w:val="17"/>
        </w:numPr>
        <w:tabs>
          <w:tab w:val="left" w:pos="284"/>
        </w:tabs>
        <w:spacing w:line="360" w:lineRule="auto"/>
        <w:ind w:left="0" w:firstLine="0"/>
        <w:jc w:val="both"/>
        <w:rPr>
          <w:rFonts w:ascii="Calibri" w:hAnsi="Calibri" w:cs="Calibri"/>
          <w:sz w:val="22"/>
          <w:szCs w:val="22"/>
        </w:rPr>
      </w:pPr>
      <w:r w:rsidRPr="0081349D">
        <w:rPr>
          <w:rFonts w:ascii="Calibri" w:hAnsi="Calibri" w:cs="Calibri"/>
          <w:sz w:val="22"/>
          <w:szCs w:val="22"/>
        </w:rPr>
        <w:t>Instruir o processo e desenvolver as diligências relativas ao contrato/acordo ou protocolo a celebrar;</w:t>
      </w:r>
    </w:p>
    <w:p w14:paraId="0C735D7A" w14:textId="77777777" w:rsidR="0081349D" w:rsidRPr="0081349D" w:rsidRDefault="0081349D" w:rsidP="00FC4F22">
      <w:pPr>
        <w:numPr>
          <w:ilvl w:val="0"/>
          <w:numId w:val="17"/>
        </w:numPr>
        <w:tabs>
          <w:tab w:val="left" w:pos="284"/>
        </w:tabs>
        <w:spacing w:line="360" w:lineRule="auto"/>
        <w:ind w:left="0" w:firstLine="0"/>
        <w:jc w:val="both"/>
        <w:rPr>
          <w:rFonts w:ascii="Calibri" w:hAnsi="Calibri" w:cs="Calibri"/>
          <w:sz w:val="22"/>
          <w:szCs w:val="22"/>
        </w:rPr>
      </w:pPr>
      <w:r w:rsidRPr="0081349D">
        <w:rPr>
          <w:rFonts w:ascii="Calibri" w:hAnsi="Calibri" w:cs="Calibri"/>
          <w:sz w:val="22"/>
          <w:szCs w:val="22"/>
        </w:rPr>
        <w:lastRenderedPageBreak/>
        <w:t>Propor, quando tal for adequado em função dos riscos envolvidos na realização da prestação de serviços, a celebração de seguro, de forma a cobrir, quer os riscos que incorram os colaboradores ou equipamentos envolvidos na prestação do serviço, quer as consequências que deles decorram para o IPP, devendo, para o efeito, calcular os respetivos custos e incorporá-los no orçamento da prestação de serviços;</w:t>
      </w:r>
    </w:p>
    <w:p w14:paraId="40D5DA60" w14:textId="77777777" w:rsidR="0081349D" w:rsidRPr="0081349D" w:rsidRDefault="0081349D" w:rsidP="00FC4F22">
      <w:pPr>
        <w:numPr>
          <w:ilvl w:val="0"/>
          <w:numId w:val="17"/>
        </w:numPr>
        <w:tabs>
          <w:tab w:val="left" w:pos="284"/>
        </w:tabs>
        <w:spacing w:line="360" w:lineRule="auto"/>
        <w:ind w:left="0" w:firstLine="0"/>
        <w:jc w:val="both"/>
        <w:rPr>
          <w:rFonts w:ascii="Calibri" w:hAnsi="Calibri" w:cs="Calibri"/>
          <w:sz w:val="22"/>
          <w:szCs w:val="22"/>
        </w:rPr>
      </w:pPr>
      <w:r w:rsidRPr="0081349D">
        <w:rPr>
          <w:rFonts w:ascii="Calibri" w:hAnsi="Calibri" w:cs="Calibri"/>
          <w:sz w:val="22"/>
          <w:szCs w:val="22"/>
        </w:rPr>
        <w:t>Fazer prova da conclusão da prestação de serviço, com base num termo de aceitação do mesmo por parte da entidade adjudicante, acompanhado de um exemplar do produto final ou de toda a documentação que o originou;</w:t>
      </w:r>
    </w:p>
    <w:p w14:paraId="67277289" w14:textId="77777777" w:rsidR="0081349D" w:rsidRPr="0081349D" w:rsidRDefault="0081349D" w:rsidP="00FC4F22">
      <w:pPr>
        <w:numPr>
          <w:ilvl w:val="0"/>
          <w:numId w:val="17"/>
        </w:numPr>
        <w:tabs>
          <w:tab w:val="left" w:pos="284"/>
        </w:tabs>
        <w:spacing w:line="360" w:lineRule="auto"/>
        <w:ind w:left="0" w:firstLine="0"/>
        <w:jc w:val="both"/>
        <w:rPr>
          <w:rFonts w:ascii="Calibri" w:hAnsi="Calibri" w:cs="Calibri"/>
          <w:sz w:val="22"/>
          <w:szCs w:val="22"/>
        </w:rPr>
      </w:pPr>
      <w:r w:rsidRPr="0081349D">
        <w:rPr>
          <w:rFonts w:ascii="Calibri" w:hAnsi="Calibri" w:cs="Calibri"/>
          <w:sz w:val="22"/>
          <w:szCs w:val="22"/>
        </w:rPr>
        <w:t>Elaborar os relatórios necessários, dos quais, obrigatoriamente um relatório final a apresentar à C3i, onde se centraliza a Gestão de Projetos e Prestações de Serviços do IPP;</w:t>
      </w:r>
    </w:p>
    <w:p w14:paraId="6F61CD8E" w14:textId="77777777" w:rsidR="0081349D" w:rsidRPr="0081349D" w:rsidRDefault="0081349D" w:rsidP="00FC4F22">
      <w:pPr>
        <w:numPr>
          <w:ilvl w:val="0"/>
          <w:numId w:val="17"/>
        </w:numPr>
        <w:tabs>
          <w:tab w:val="left" w:pos="284"/>
        </w:tabs>
        <w:spacing w:line="360" w:lineRule="auto"/>
        <w:ind w:left="0" w:firstLine="0"/>
        <w:jc w:val="both"/>
        <w:rPr>
          <w:rFonts w:ascii="Calibri" w:hAnsi="Calibri" w:cs="Calibri"/>
          <w:sz w:val="22"/>
          <w:szCs w:val="22"/>
        </w:rPr>
      </w:pPr>
      <w:r w:rsidRPr="0081349D">
        <w:rPr>
          <w:rFonts w:ascii="Calibri" w:hAnsi="Calibri" w:cs="Calibri"/>
          <w:sz w:val="22"/>
          <w:szCs w:val="22"/>
        </w:rPr>
        <w:t>Solicitar autorização para a aquisição de bens e serviços necessários à reali</w:t>
      </w:r>
      <w:r w:rsidR="00421565">
        <w:rPr>
          <w:rFonts w:ascii="Calibri" w:hAnsi="Calibri" w:cs="Calibri"/>
          <w:sz w:val="22"/>
          <w:szCs w:val="22"/>
        </w:rPr>
        <w:t>zação da prestação de serviços</w:t>
      </w:r>
      <w:r w:rsidRPr="0081349D">
        <w:rPr>
          <w:rFonts w:ascii="Calibri" w:hAnsi="Calibri" w:cs="Calibri"/>
          <w:sz w:val="22"/>
          <w:szCs w:val="22"/>
        </w:rPr>
        <w:t xml:space="preserve"> previstos no contrato/acordo ou protocolo;</w:t>
      </w:r>
    </w:p>
    <w:p w14:paraId="1617ADFC" w14:textId="77777777" w:rsidR="0081349D" w:rsidRPr="0081349D" w:rsidRDefault="0081349D" w:rsidP="00FC4F22">
      <w:pPr>
        <w:numPr>
          <w:ilvl w:val="0"/>
          <w:numId w:val="17"/>
        </w:numPr>
        <w:tabs>
          <w:tab w:val="left" w:pos="284"/>
        </w:tabs>
        <w:spacing w:line="360" w:lineRule="auto"/>
        <w:ind w:left="0" w:firstLine="0"/>
        <w:jc w:val="both"/>
        <w:rPr>
          <w:rFonts w:ascii="Calibri" w:hAnsi="Calibri" w:cs="Calibri"/>
          <w:sz w:val="22"/>
          <w:szCs w:val="22"/>
        </w:rPr>
      </w:pPr>
      <w:r w:rsidRPr="0081349D">
        <w:rPr>
          <w:rFonts w:ascii="Calibri" w:hAnsi="Calibri" w:cs="Calibri"/>
          <w:sz w:val="22"/>
          <w:szCs w:val="22"/>
        </w:rPr>
        <w:t>Diligenciar todos os</w:t>
      </w:r>
      <w:r w:rsidR="00421565">
        <w:rPr>
          <w:rFonts w:ascii="Calibri" w:hAnsi="Calibri" w:cs="Calibri"/>
          <w:sz w:val="22"/>
          <w:szCs w:val="22"/>
        </w:rPr>
        <w:t xml:space="preserve"> </w:t>
      </w:r>
      <w:r w:rsidR="00421565" w:rsidRPr="0081349D">
        <w:rPr>
          <w:rFonts w:ascii="Calibri" w:hAnsi="Calibri" w:cs="Calibri"/>
          <w:sz w:val="22"/>
          <w:szCs w:val="22"/>
        </w:rPr>
        <w:t>procedimentos</w:t>
      </w:r>
      <w:r w:rsidRPr="0081349D">
        <w:rPr>
          <w:rFonts w:ascii="Calibri" w:hAnsi="Calibri" w:cs="Calibri"/>
          <w:sz w:val="22"/>
          <w:szCs w:val="22"/>
        </w:rPr>
        <w:t xml:space="preserve"> necessários para a boa execução do mesmo;</w:t>
      </w:r>
    </w:p>
    <w:p w14:paraId="257A5784" w14:textId="77777777" w:rsidR="0081349D" w:rsidRPr="0081349D" w:rsidRDefault="0081349D" w:rsidP="00FC4F22">
      <w:pPr>
        <w:numPr>
          <w:ilvl w:val="0"/>
          <w:numId w:val="17"/>
        </w:numPr>
        <w:tabs>
          <w:tab w:val="left" w:pos="284"/>
        </w:tabs>
        <w:spacing w:line="360" w:lineRule="auto"/>
        <w:ind w:left="0" w:firstLine="0"/>
        <w:jc w:val="both"/>
        <w:rPr>
          <w:rFonts w:ascii="Calibri" w:hAnsi="Calibri" w:cs="Calibri"/>
          <w:sz w:val="22"/>
          <w:szCs w:val="22"/>
        </w:rPr>
      </w:pPr>
      <w:r w:rsidRPr="0081349D">
        <w:rPr>
          <w:rFonts w:ascii="Calibri" w:hAnsi="Calibri" w:cs="Calibri"/>
          <w:sz w:val="22"/>
          <w:szCs w:val="22"/>
        </w:rPr>
        <w:t xml:space="preserve">Comunicar imediatamente à C3i quaisquer desvios na execução do serviço prestado. </w:t>
      </w:r>
    </w:p>
    <w:p w14:paraId="617C3AEB" w14:textId="77777777" w:rsidR="0081349D" w:rsidRPr="0081349D" w:rsidRDefault="0081349D" w:rsidP="00C54D22">
      <w:pPr>
        <w:tabs>
          <w:tab w:val="left" w:pos="284"/>
        </w:tabs>
        <w:spacing w:line="360" w:lineRule="auto"/>
        <w:jc w:val="both"/>
        <w:rPr>
          <w:rFonts w:ascii="Calibri" w:hAnsi="Calibri" w:cs="Calibri"/>
          <w:sz w:val="22"/>
          <w:szCs w:val="22"/>
        </w:rPr>
      </w:pPr>
      <w:r w:rsidRPr="0081349D">
        <w:rPr>
          <w:rFonts w:ascii="Calibri" w:hAnsi="Calibri" w:cs="Calibri"/>
          <w:sz w:val="22"/>
          <w:szCs w:val="22"/>
        </w:rPr>
        <w:t>3 – A gestão administrativa e financeira da prestação de serviços é da responsabilidade da C3i, com a colaboração das Unidades Orgânicas e Unidades Funcionais do IPP, quando se justificar.</w:t>
      </w:r>
    </w:p>
    <w:p w14:paraId="75ED2CA6" w14:textId="77777777" w:rsidR="0081349D" w:rsidRPr="0081349D" w:rsidRDefault="0081349D" w:rsidP="00C54D22">
      <w:pPr>
        <w:tabs>
          <w:tab w:val="left" w:pos="284"/>
        </w:tabs>
        <w:spacing w:line="360" w:lineRule="auto"/>
        <w:jc w:val="center"/>
        <w:rPr>
          <w:rFonts w:ascii="Calibri" w:hAnsi="Calibri" w:cs="Calibri"/>
          <w:sz w:val="22"/>
          <w:szCs w:val="22"/>
        </w:rPr>
      </w:pPr>
    </w:p>
    <w:p w14:paraId="26D6CFFF" w14:textId="77777777" w:rsidR="0081349D" w:rsidRPr="0081349D" w:rsidRDefault="0081349D" w:rsidP="00C54D22">
      <w:pPr>
        <w:tabs>
          <w:tab w:val="left" w:pos="284"/>
        </w:tabs>
        <w:spacing w:line="360" w:lineRule="auto"/>
        <w:jc w:val="center"/>
        <w:rPr>
          <w:rFonts w:ascii="Calibri" w:hAnsi="Calibri" w:cs="Calibri"/>
          <w:sz w:val="22"/>
          <w:szCs w:val="22"/>
        </w:rPr>
      </w:pPr>
      <w:r w:rsidRPr="0081349D">
        <w:rPr>
          <w:rFonts w:ascii="Calibri" w:hAnsi="Calibri" w:cs="Calibri"/>
          <w:sz w:val="22"/>
          <w:szCs w:val="22"/>
        </w:rPr>
        <w:t xml:space="preserve">Artigo 7.º </w:t>
      </w:r>
    </w:p>
    <w:p w14:paraId="19F62E80" w14:textId="77777777" w:rsidR="0081349D" w:rsidRPr="0081349D" w:rsidRDefault="0081349D" w:rsidP="00C54D22">
      <w:pPr>
        <w:tabs>
          <w:tab w:val="left" w:pos="284"/>
        </w:tabs>
        <w:spacing w:line="360" w:lineRule="auto"/>
        <w:jc w:val="center"/>
        <w:rPr>
          <w:rFonts w:ascii="Calibri" w:hAnsi="Calibri" w:cs="Calibri"/>
          <w:b/>
          <w:sz w:val="22"/>
          <w:szCs w:val="22"/>
        </w:rPr>
      </w:pPr>
      <w:r w:rsidRPr="0081349D">
        <w:rPr>
          <w:rFonts w:ascii="Calibri" w:hAnsi="Calibri" w:cs="Calibri"/>
          <w:b/>
          <w:sz w:val="22"/>
          <w:szCs w:val="22"/>
        </w:rPr>
        <w:t>Plano Financeiro</w:t>
      </w:r>
    </w:p>
    <w:p w14:paraId="14629535" w14:textId="77777777" w:rsidR="0081349D" w:rsidRPr="007029C8" w:rsidRDefault="0081349D" w:rsidP="00C54D22">
      <w:pPr>
        <w:tabs>
          <w:tab w:val="left" w:pos="284"/>
          <w:tab w:val="left" w:pos="567"/>
        </w:tabs>
        <w:spacing w:line="360" w:lineRule="auto"/>
        <w:jc w:val="both"/>
        <w:rPr>
          <w:rFonts w:ascii="Calibri" w:hAnsi="Calibri" w:cs="Calibri"/>
          <w:sz w:val="22"/>
          <w:szCs w:val="22"/>
        </w:rPr>
      </w:pPr>
      <w:r w:rsidRPr="007029C8">
        <w:rPr>
          <w:rFonts w:ascii="Calibri" w:hAnsi="Calibri" w:cs="Calibri"/>
          <w:sz w:val="22"/>
          <w:szCs w:val="22"/>
        </w:rPr>
        <w:t>1 – As receitas provenientes da prestação de serviç</w:t>
      </w:r>
      <w:r w:rsidR="00ED3CBE" w:rsidRPr="007029C8">
        <w:rPr>
          <w:rFonts w:ascii="Calibri" w:hAnsi="Calibri" w:cs="Calibri"/>
          <w:sz w:val="22"/>
          <w:szCs w:val="22"/>
        </w:rPr>
        <w:t>os são receitas próprias do IPP</w:t>
      </w:r>
      <w:r w:rsidRPr="007029C8">
        <w:rPr>
          <w:rFonts w:ascii="Calibri" w:hAnsi="Calibri" w:cs="Calibri"/>
          <w:sz w:val="22"/>
          <w:szCs w:val="22"/>
        </w:rPr>
        <w:t>.</w:t>
      </w:r>
    </w:p>
    <w:p w14:paraId="2502C847" w14:textId="77777777" w:rsidR="00FC4F22" w:rsidRPr="007029C8" w:rsidRDefault="00FC4F22" w:rsidP="00FC4F22">
      <w:pPr>
        <w:tabs>
          <w:tab w:val="left" w:pos="284"/>
        </w:tabs>
        <w:spacing w:line="360" w:lineRule="auto"/>
        <w:jc w:val="both"/>
        <w:rPr>
          <w:rFonts w:ascii="Calibri" w:hAnsi="Calibri" w:cs="Calibri"/>
          <w:sz w:val="22"/>
          <w:szCs w:val="22"/>
        </w:rPr>
      </w:pPr>
      <w:r w:rsidRPr="007029C8">
        <w:rPr>
          <w:rFonts w:ascii="Calibri" w:hAnsi="Calibri" w:cs="Calibri"/>
          <w:sz w:val="22"/>
          <w:szCs w:val="22"/>
        </w:rPr>
        <w:t xml:space="preserve">2 – A percentagem de referência para os </w:t>
      </w:r>
      <w:proofErr w:type="spellStart"/>
      <w:r w:rsidRPr="0077558F">
        <w:rPr>
          <w:rFonts w:ascii="Calibri" w:hAnsi="Calibri" w:cs="Calibri"/>
          <w:i/>
          <w:sz w:val="22"/>
          <w:szCs w:val="22"/>
        </w:rPr>
        <w:t>overheads</w:t>
      </w:r>
      <w:proofErr w:type="spellEnd"/>
      <w:r w:rsidRPr="007029C8">
        <w:rPr>
          <w:rFonts w:ascii="Calibri" w:hAnsi="Calibri" w:cs="Calibri"/>
          <w:sz w:val="22"/>
          <w:szCs w:val="22"/>
        </w:rPr>
        <w:t xml:space="preserve"> será de 40%, podendo ser, excecionalmente, estabelecida outra percentagem, </w:t>
      </w:r>
      <w:r w:rsidR="007029C8">
        <w:rPr>
          <w:rFonts w:ascii="Calibri" w:hAnsi="Calibri" w:cs="Calibri"/>
          <w:sz w:val="22"/>
          <w:szCs w:val="22"/>
        </w:rPr>
        <w:t xml:space="preserve">nomeadamente </w:t>
      </w:r>
      <w:r w:rsidRPr="007029C8">
        <w:rPr>
          <w:rFonts w:ascii="Calibri" w:hAnsi="Calibri" w:cs="Calibri"/>
          <w:sz w:val="22"/>
          <w:szCs w:val="22"/>
        </w:rPr>
        <w:t xml:space="preserve">em caso de legislação ou regulamentação específica que assim o estabeleça. </w:t>
      </w:r>
    </w:p>
    <w:p w14:paraId="76CA2435" w14:textId="77777777" w:rsidR="0081349D" w:rsidRPr="007029C8" w:rsidRDefault="00FC4F22" w:rsidP="00C54D22">
      <w:pPr>
        <w:tabs>
          <w:tab w:val="left" w:pos="284"/>
        </w:tabs>
        <w:spacing w:line="360" w:lineRule="auto"/>
        <w:jc w:val="both"/>
        <w:rPr>
          <w:rFonts w:ascii="Calibri" w:hAnsi="Calibri" w:cs="Calibri"/>
          <w:sz w:val="22"/>
          <w:szCs w:val="22"/>
        </w:rPr>
      </w:pPr>
      <w:r w:rsidRPr="007029C8">
        <w:rPr>
          <w:rFonts w:ascii="Calibri" w:hAnsi="Calibri" w:cs="Calibri"/>
          <w:sz w:val="22"/>
          <w:szCs w:val="22"/>
        </w:rPr>
        <w:t>3</w:t>
      </w:r>
      <w:r w:rsidR="0081349D" w:rsidRPr="007029C8">
        <w:rPr>
          <w:rFonts w:ascii="Calibri" w:hAnsi="Calibri" w:cs="Calibri"/>
          <w:sz w:val="22"/>
          <w:szCs w:val="22"/>
        </w:rPr>
        <w:t xml:space="preserve"> – </w:t>
      </w:r>
      <w:r w:rsidRPr="007029C8">
        <w:rPr>
          <w:rFonts w:ascii="Calibri" w:hAnsi="Calibri" w:cs="Calibri"/>
          <w:sz w:val="22"/>
          <w:szCs w:val="22"/>
        </w:rPr>
        <w:t xml:space="preserve">Para efeitos do </w:t>
      </w:r>
      <w:r w:rsidR="0081349D" w:rsidRPr="007029C8">
        <w:rPr>
          <w:rFonts w:ascii="Calibri" w:hAnsi="Calibri" w:cs="Calibri"/>
          <w:sz w:val="22"/>
          <w:szCs w:val="22"/>
        </w:rPr>
        <w:t>cálculo dos custos relativos aos recursos humanos</w:t>
      </w:r>
      <w:r w:rsidRPr="007029C8">
        <w:rPr>
          <w:rFonts w:ascii="Calibri" w:hAnsi="Calibri" w:cs="Calibri"/>
          <w:sz w:val="22"/>
          <w:szCs w:val="22"/>
        </w:rPr>
        <w:t xml:space="preserve"> e do número de horas afetas à prestação de serviços devem ser considerados os seguintes valores/hora</w:t>
      </w:r>
      <w:r w:rsidR="0081349D" w:rsidRPr="007029C8">
        <w:rPr>
          <w:rFonts w:ascii="Calibri" w:hAnsi="Calibri" w:cs="Calibri"/>
          <w:sz w:val="22"/>
          <w:szCs w:val="22"/>
        </w:rPr>
        <w:t xml:space="preserve">: </w:t>
      </w:r>
    </w:p>
    <w:p w14:paraId="43DBEBFB" w14:textId="77777777" w:rsidR="0081349D" w:rsidRPr="007029C8" w:rsidRDefault="0081349D" w:rsidP="00FC4F22">
      <w:pPr>
        <w:numPr>
          <w:ilvl w:val="0"/>
          <w:numId w:val="18"/>
        </w:numPr>
        <w:tabs>
          <w:tab w:val="left" w:pos="284"/>
        </w:tabs>
        <w:spacing w:line="360" w:lineRule="auto"/>
        <w:ind w:left="0" w:firstLine="0"/>
        <w:jc w:val="both"/>
        <w:rPr>
          <w:rFonts w:ascii="Calibri" w:hAnsi="Calibri" w:cs="Calibri"/>
          <w:sz w:val="22"/>
          <w:szCs w:val="22"/>
        </w:rPr>
      </w:pPr>
      <w:r w:rsidRPr="007029C8">
        <w:rPr>
          <w:rFonts w:ascii="Calibri" w:hAnsi="Calibri" w:cs="Calibri"/>
          <w:sz w:val="22"/>
          <w:szCs w:val="22"/>
        </w:rPr>
        <w:t xml:space="preserve">Para os docentes envolvidos será considerado o valor/hora definido para </w:t>
      </w:r>
      <w:r w:rsidR="007029C8" w:rsidRPr="007029C8">
        <w:rPr>
          <w:rFonts w:ascii="Calibri" w:hAnsi="Calibri" w:cs="Calibri"/>
          <w:sz w:val="22"/>
          <w:szCs w:val="22"/>
        </w:rPr>
        <w:t xml:space="preserve">o </w:t>
      </w:r>
      <w:r w:rsidR="007029C8">
        <w:rPr>
          <w:rFonts w:ascii="Calibri" w:hAnsi="Calibri" w:cs="Calibri"/>
          <w:sz w:val="22"/>
          <w:szCs w:val="22"/>
        </w:rPr>
        <w:t>nível remuneratório</w:t>
      </w:r>
      <w:r w:rsidRPr="007029C8">
        <w:rPr>
          <w:rFonts w:ascii="Calibri" w:hAnsi="Calibri" w:cs="Calibri"/>
          <w:sz w:val="22"/>
          <w:szCs w:val="22"/>
        </w:rPr>
        <w:t xml:space="preserve"> </w:t>
      </w:r>
      <w:r w:rsidR="007029C8" w:rsidRPr="007029C8">
        <w:rPr>
          <w:rFonts w:ascii="Calibri" w:hAnsi="Calibri" w:cs="Calibri"/>
          <w:sz w:val="22"/>
          <w:szCs w:val="22"/>
        </w:rPr>
        <w:t xml:space="preserve">mais elevado da categoria </w:t>
      </w:r>
      <w:r w:rsidRPr="007029C8">
        <w:rPr>
          <w:rFonts w:ascii="Calibri" w:hAnsi="Calibri" w:cs="Calibri"/>
          <w:sz w:val="22"/>
          <w:szCs w:val="22"/>
        </w:rPr>
        <w:t xml:space="preserve">de Professor Coordenador </w:t>
      </w:r>
      <w:r w:rsidR="007029C8">
        <w:rPr>
          <w:rFonts w:ascii="Calibri" w:hAnsi="Calibri" w:cs="Calibri"/>
          <w:sz w:val="22"/>
          <w:szCs w:val="22"/>
        </w:rPr>
        <w:t>Principal, em tempo integral e</w:t>
      </w:r>
      <w:r w:rsidRPr="007029C8">
        <w:rPr>
          <w:rFonts w:ascii="Calibri" w:hAnsi="Calibri" w:cs="Calibri"/>
          <w:sz w:val="22"/>
          <w:szCs w:val="22"/>
        </w:rPr>
        <w:t xml:space="preserve"> regime de exclusividade;</w:t>
      </w:r>
    </w:p>
    <w:p w14:paraId="66F8D738" w14:textId="77777777" w:rsidR="0081349D" w:rsidRDefault="0081349D" w:rsidP="00FC4F22">
      <w:pPr>
        <w:numPr>
          <w:ilvl w:val="0"/>
          <w:numId w:val="18"/>
        </w:numPr>
        <w:tabs>
          <w:tab w:val="left" w:pos="284"/>
        </w:tabs>
        <w:spacing w:line="360" w:lineRule="auto"/>
        <w:ind w:left="0" w:firstLine="0"/>
        <w:jc w:val="both"/>
        <w:rPr>
          <w:rFonts w:ascii="Calibri" w:hAnsi="Calibri" w:cs="Calibri"/>
          <w:sz w:val="22"/>
          <w:szCs w:val="22"/>
        </w:rPr>
      </w:pPr>
      <w:r w:rsidRPr="00FC4F22">
        <w:rPr>
          <w:rFonts w:ascii="Calibri" w:hAnsi="Calibri" w:cs="Calibri"/>
          <w:sz w:val="22"/>
          <w:szCs w:val="22"/>
        </w:rPr>
        <w:t xml:space="preserve">Para os não docentes será considerado o valor/hora definido para </w:t>
      </w:r>
      <w:r w:rsidR="007029C8" w:rsidRPr="007029C8">
        <w:rPr>
          <w:rFonts w:ascii="Calibri" w:hAnsi="Calibri" w:cs="Calibri"/>
          <w:sz w:val="22"/>
          <w:szCs w:val="22"/>
        </w:rPr>
        <w:t xml:space="preserve">o </w:t>
      </w:r>
      <w:r w:rsidR="007029C8">
        <w:rPr>
          <w:rFonts w:ascii="Calibri" w:hAnsi="Calibri" w:cs="Calibri"/>
          <w:sz w:val="22"/>
          <w:szCs w:val="22"/>
        </w:rPr>
        <w:t>nível remuneratório</w:t>
      </w:r>
      <w:r w:rsidR="007029C8" w:rsidRPr="007029C8">
        <w:rPr>
          <w:rFonts w:ascii="Calibri" w:hAnsi="Calibri" w:cs="Calibri"/>
          <w:sz w:val="22"/>
          <w:szCs w:val="22"/>
        </w:rPr>
        <w:t xml:space="preserve"> mais elevado </w:t>
      </w:r>
      <w:r w:rsidRPr="00FC4F22">
        <w:rPr>
          <w:rFonts w:ascii="Calibri" w:hAnsi="Calibri" w:cs="Calibri"/>
          <w:sz w:val="22"/>
          <w:szCs w:val="22"/>
        </w:rPr>
        <w:t>da respetiva carreira.</w:t>
      </w:r>
    </w:p>
    <w:p w14:paraId="736573C8" w14:textId="77777777" w:rsidR="0081349D" w:rsidRPr="0081349D" w:rsidRDefault="0081349D" w:rsidP="00C54D22">
      <w:pPr>
        <w:tabs>
          <w:tab w:val="left" w:pos="284"/>
        </w:tabs>
        <w:spacing w:line="360" w:lineRule="auto"/>
        <w:jc w:val="center"/>
        <w:rPr>
          <w:rFonts w:ascii="Calibri" w:hAnsi="Calibri" w:cs="Calibri"/>
          <w:sz w:val="22"/>
          <w:szCs w:val="22"/>
        </w:rPr>
      </w:pPr>
    </w:p>
    <w:p w14:paraId="1617A3D7" w14:textId="77777777" w:rsidR="0081349D" w:rsidRPr="0081349D" w:rsidRDefault="0081349D" w:rsidP="00C54D22">
      <w:pPr>
        <w:tabs>
          <w:tab w:val="left" w:pos="284"/>
        </w:tabs>
        <w:spacing w:line="360" w:lineRule="auto"/>
        <w:jc w:val="center"/>
        <w:rPr>
          <w:rFonts w:ascii="Calibri" w:hAnsi="Calibri" w:cs="Calibri"/>
          <w:sz w:val="22"/>
          <w:szCs w:val="22"/>
        </w:rPr>
      </w:pPr>
      <w:r w:rsidRPr="0081349D">
        <w:rPr>
          <w:rFonts w:ascii="Calibri" w:hAnsi="Calibri" w:cs="Calibri"/>
          <w:sz w:val="22"/>
          <w:szCs w:val="22"/>
        </w:rPr>
        <w:lastRenderedPageBreak/>
        <w:t xml:space="preserve">Artigo 8.º </w:t>
      </w:r>
    </w:p>
    <w:p w14:paraId="23F51D0A" w14:textId="77777777" w:rsidR="0081349D" w:rsidRDefault="0081349D" w:rsidP="00C54D22">
      <w:pPr>
        <w:tabs>
          <w:tab w:val="left" w:pos="284"/>
        </w:tabs>
        <w:spacing w:line="360" w:lineRule="auto"/>
        <w:jc w:val="center"/>
        <w:rPr>
          <w:rFonts w:ascii="Calibri" w:hAnsi="Calibri" w:cs="Calibri"/>
          <w:b/>
          <w:sz w:val="22"/>
          <w:szCs w:val="22"/>
        </w:rPr>
      </w:pPr>
      <w:r w:rsidRPr="0081349D">
        <w:rPr>
          <w:rFonts w:ascii="Calibri" w:hAnsi="Calibri" w:cs="Calibri"/>
          <w:b/>
          <w:sz w:val="22"/>
          <w:szCs w:val="22"/>
        </w:rPr>
        <w:t>Remunerações de docentes em dedicação exclusiva e não docentes</w:t>
      </w:r>
    </w:p>
    <w:p w14:paraId="0D67C960" w14:textId="77777777" w:rsidR="0081349D" w:rsidRPr="0081349D" w:rsidRDefault="0081349D" w:rsidP="00C54D22">
      <w:pPr>
        <w:tabs>
          <w:tab w:val="left" w:pos="284"/>
        </w:tabs>
        <w:spacing w:line="360" w:lineRule="auto"/>
        <w:jc w:val="both"/>
        <w:rPr>
          <w:rFonts w:asciiTheme="minorHAnsi" w:hAnsiTheme="minorHAnsi" w:cstheme="minorHAnsi"/>
          <w:sz w:val="22"/>
          <w:szCs w:val="22"/>
        </w:rPr>
      </w:pPr>
      <w:r w:rsidRPr="0081349D">
        <w:rPr>
          <w:rFonts w:ascii="Calibri" w:hAnsi="Calibri" w:cs="Calibri"/>
          <w:sz w:val="22"/>
          <w:szCs w:val="22"/>
        </w:rPr>
        <w:t>1 – Nos termos do artigo 34.º-A, n.º 3, alíneas i) e j) do ECPDESP e do presente Regulamento, podem</w:t>
      </w:r>
      <w:r w:rsidR="000F2676">
        <w:rPr>
          <w:rFonts w:ascii="Calibri" w:hAnsi="Calibri" w:cs="Calibri"/>
          <w:sz w:val="22"/>
          <w:szCs w:val="22"/>
        </w:rPr>
        <w:t xml:space="preserve"> </w:t>
      </w:r>
      <w:r w:rsidRPr="0081349D">
        <w:rPr>
          <w:rFonts w:ascii="Calibri" w:hAnsi="Calibri" w:cs="Calibri"/>
          <w:sz w:val="22"/>
          <w:szCs w:val="22"/>
        </w:rPr>
        <w:t xml:space="preserve">os docentes em dedicação exclusiva, envolvidos na prestação de serviço, receber, em cada ano, remunerações referentes a atividades exercidas nesse âmbito, até ao limite de </w:t>
      </w:r>
      <w:r w:rsidRPr="0081349D">
        <w:rPr>
          <w:rFonts w:asciiTheme="minorHAnsi" w:hAnsiTheme="minorHAnsi" w:cstheme="minorHAnsi"/>
          <w:sz w:val="22"/>
          <w:szCs w:val="22"/>
        </w:rPr>
        <w:t>um terço do seu vencimento anual (14 meses), podendo este limite ser ultrapassado, desde que autorizado pelo Presidente do IPP, em situações específicas de manifesto interesse para o Instituto e devidamente fundamentadas.</w:t>
      </w:r>
    </w:p>
    <w:p w14:paraId="61A518F4" w14:textId="77777777" w:rsidR="0081349D" w:rsidRPr="0081349D" w:rsidRDefault="0081349D" w:rsidP="00C54D22">
      <w:pPr>
        <w:tabs>
          <w:tab w:val="left" w:pos="284"/>
        </w:tabs>
        <w:spacing w:line="360" w:lineRule="auto"/>
        <w:jc w:val="both"/>
        <w:rPr>
          <w:rFonts w:asciiTheme="minorHAnsi" w:hAnsiTheme="minorHAnsi" w:cstheme="minorHAnsi"/>
          <w:sz w:val="22"/>
          <w:szCs w:val="22"/>
        </w:rPr>
      </w:pPr>
      <w:r w:rsidRPr="0081349D">
        <w:rPr>
          <w:rFonts w:ascii="Calibri" w:hAnsi="Calibri" w:cs="Calibri"/>
          <w:sz w:val="22"/>
          <w:szCs w:val="22"/>
        </w:rPr>
        <w:t xml:space="preserve">2 – Nos termos do presente Regulamento podem os trabalhadores não docentes, envolvidos na prestação de serviço, receber, em cada ano, remunerações referentes a atividades exercidas nesse âmbito, até ao limite de </w:t>
      </w:r>
      <w:r w:rsidRPr="0081349D">
        <w:rPr>
          <w:rFonts w:asciiTheme="minorHAnsi" w:hAnsiTheme="minorHAnsi" w:cstheme="minorHAnsi"/>
          <w:sz w:val="22"/>
          <w:szCs w:val="22"/>
        </w:rPr>
        <w:t>um terço do seu vencimento anual (14 meses), podendo este limite ser ultrapassado, desde que autorizado pelo Presidente do IPP, em situações específicas de manifesto interesse para o Instituto e devidamente fundamentadas.</w:t>
      </w:r>
    </w:p>
    <w:p w14:paraId="15BB2182" w14:textId="77777777" w:rsidR="0081349D" w:rsidRPr="00C47DC8" w:rsidRDefault="0081349D" w:rsidP="00C54D22">
      <w:pPr>
        <w:tabs>
          <w:tab w:val="left" w:pos="284"/>
        </w:tabs>
        <w:spacing w:line="360" w:lineRule="auto"/>
        <w:jc w:val="both"/>
        <w:rPr>
          <w:rFonts w:ascii="Calibri" w:hAnsi="Calibri" w:cs="Calibri"/>
          <w:sz w:val="22"/>
          <w:szCs w:val="22"/>
        </w:rPr>
      </w:pPr>
      <w:r w:rsidRPr="0081349D">
        <w:rPr>
          <w:rFonts w:ascii="Calibri" w:hAnsi="Calibri" w:cs="Calibri"/>
          <w:sz w:val="22"/>
          <w:szCs w:val="22"/>
        </w:rPr>
        <w:t xml:space="preserve">3 – As remunerações previstas nos números anteriores serão calculadas para cada caso tendo em conta o tempo de participação nas atividades da prestação de serviço para além do tempo considerado na relação de </w:t>
      </w:r>
      <w:r w:rsidRPr="00C47DC8">
        <w:rPr>
          <w:rFonts w:ascii="Calibri" w:hAnsi="Calibri" w:cs="Calibri"/>
          <w:sz w:val="22"/>
          <w:szCs w:val="22"/>
        </w:rPr>
        <w:t>emprego com o I</w:t>
      </w:r>
      <w:r w:rsidR="000F2676" w:rsidRPr="00C47DC8">
        <w:rPr>
          <w:rFonts w:ascii="Calibri" w:hAnsi="Calibri" w:cs="Calibri"/>
          <w:sz w:val="22"/>
          <w:szCs w:val="22"/>
        </w:rPr>
        <w:t>PP, sendo que para:</w:t>
      </w:r>
      <w:r w:rsidRPr="00C47DC8">
        <w:rPr>
          <w:rFonts w:ascii="Calibri" w:hAnsi="Calibri" w:cs="Calibri"/>
          <w:sz w:val="22"/>
          <w:szCs w:val="22"/>
        </w:rPr>
        <w:t xml:space="preserve"> </w:t>
      </w:r>
    </w:p>
    <w:p w14:paraId="47013C09" w14:textId="257F6DC2" w:rsidR="000F2676" w:rsidRPr="00C47DC8" w:rsidRDefault="000F2676" w:rsidP="00C54D22">
      <w:pPr>
        <w:tabs>
          <w:tab w:val="left" w:pos="284"/>
        </w:tabs>
        <w:spacing w:line="360" w:lineRule="auto"/>
        <w:jc w:val="both"/>
        <w:rPr>
          <w:rFonts w:ascii="Calibri" w:hAnsi="Calibri" w:cs="Calibri"/>
          <w:sz w:val="22"/>
          <w:szCs w:val="22"/>
        </w:rPr>
      </w:pPr>
      <w:proofErr w:type="gramStart"/>
      <w:r w:rsidRPr="00C47DC8">
        <w:rPr>
          <w:rFonts w:ascii="Calibri" w:hAnsi="Calibri" w:cs="Calibri"/>
          <w:sz w:val="22"/>
          <w:szCs w:val="22"/>
        </w:rPr>
        <w:t>a) Os</w:t>
      </w:r>
      <w:proofErr w:type="gramEnd"/>
      <w:r w:rsidRPr="00C47DC8">
        <w:rPr>
          <w:rFonts w:ascii="Calibri" w:hAnsi="Calibri" w:cs="Calibri"/>
          <w:sz w:val="22"/>
          <w:szCs w:val="22"/>
        </w:rPr>
        <w:t xml:space="preserve"> docentes</w:t>
      </w:r>
      <w:r w:rsidR="0081487D" w:rsidRPr="00C47DC8">
        <w:rPr>
          <w:rFonts w:ascii="Calibri" w:hAnsi="Calibri" w:cs="Calibri"/>
          <w:sz w:val="22"/>
          <w:szCs w:val="22"/>
        </w:rPr>
        <w:t>,</w:t>
      </w:r>
      <w:r w:rsidRPr="00C47DC8">
        <w:rPr>
          <w:rFonts w:ascii="Calibri" w:hAnsi="Calibri" w:cs="Calibri"/>
          <w:sz w:val="22"/>
          <w:szCs w:val="22"/>
        </w:rPr>
        <w:t xml:space="preserve"> é considerado o tempo</w:t>
      </w:r>
      <w:r w:rsidR="0081487D" w:rsidRPr="00C47DC8">
        <w:rPr>
          <w:rFonts w:ascii="Calibri" w:hAnsi="Calibri" w:cs="Calibri"/>
          <w:sz w:val="22"/>
          <w:szCs w:val="22"/>
        </w:rPr>
        <w:t xml:space="preserve"> que exceda a</w:t>
      </w:r>
      <w:r w:rsidRPr="00C47DC8">
        <w:rPr>
          <w:rFonts w:ascii="Calibri" w:hAnsi="Calibri" w:cs="Calibri"/>
          <w:sz w:val="22"/>
          <w:szCs w:val="22"/>
        </w:rPr>
        <w:t xml:space="preserve">s </w:t>
      </w:r>
      <w:r w:rsidR="00D67B34">
        <w:rPr>
          <w:rFonts w:ascii="Calibri" w:hAnsi="Calibri" w:cs="Calibri"/>
          <w:sz w:val="22"/>
          <w:szCs w:val="22"/>
        </w:rPr>
        <w:t>12</w:t>
      </w:r>
      <w:r w:rsidRPr="00C47DC8">
        <w:rPr>
          <w:rFonts w:ascii="Calibri" w:hAnsi="Calibri" w:cs="Calibri"/>
          <w:sz w:val="22"/>
          <w:szCs w:val="22"/>
        </w:rPr>
        <w:t xml:space="preserve"> horas de aulas semanais</w:t>
      </w:r>
      <w:r w:rsidR="0081487D" w:rsidRPr="00C47DC8">
        <w:rPr>
          <w:rFonts w:ascii="Calibri" w:hAnsi="Calibri" w:cs="Calibri"/>
          <w:sz w:val="22"/>
          <w:szCs w:val="22"/>
        </w:rPr>
        <w:t>;</w:t>
      </w:r>
      <w:r w:rsidRPr="00C47DC8">
        <w:rPr>
          <w:rFonts w:ascii="Calibri" w:hAnsi="Calibri" w:cs="Calibri"/>
          <w:sz w:val="22"/>
          <w:szCs w:val="22"/>
        </w:rPr>
        <w:t xml:space="preserve">  </w:t>
      </w:r>
    </w:p>
    <w:p w14:paraId="15690DDF" w14:textId="77777777" w:rsidR="000F2676" w:rsidRPr="0081349D" w:rsidRDefault="000F2676" w:rsidP="00C54D22">
      <w:pPr>
        <w:tabs>
          <w:tab w:val="left" w:pos="284"/>
        </w:tabs>
        <w:spacing w:line="360" w:lineRule="auto"/>
        <w:jc w:val="both"/>
        <w:rPr>
          <w:rFonts w:ascii="Calibri" w:hAnsi="Calibri" w:cs="Calibri"/>
          <w:sz w:val="22"/>
          <w:szCs w:val="22"/>
        </w:rPr>
      </w:pPr>
      <w:proofErr w:type="gramStart"/>
      <w:r w:rsidRPr="00C47DC8">
        <w:rPr>
          <w:rFonts w:ascii="Calibri" w:hAnsi="Calibri" w:cs="Calibri"/>
          <w:sz w:val="22"/>
          <w:szCs w:val="22"/>
        </w:rPr>
        <w:t xml:space="preserve">b) </w:t>
      </w:r>
      <w:r w:rsidR="0081487D" w:rsidRPr="00C47DC8">
        <w:rPr>
          <w:rFonts w:ascii="Calibri" w:hAnsi="Calibri" w:cs="Calibri"/>
          <w:sz w:val="22"/>
          <w:szCs w:val="22"/>
        </w:rPr>
        <w:t>Os</w:t>
      </w:r>
      <w:proofErr w:type="gramEnd"/>
      <w:r w:rsidR="0081487D" w:rsidRPr="00C47DC8">
        <w:rPr>
          <w:rFonts w:ascii="Calibri" w:hAnsi="Calibri" w:cs="Calibri"/>
          <w:sz w:val="22"/>
          <w:szCs w:val="22"/>
        </w:rPr>
        <w:t xml:space="preserve"> não docentes, é considerado o tempo que exceda as 35 horas semanais.</w:t>
      </w:r>
    </w:p>
    <w:p w14:paraId="7A45ED5D" w14:textId="77777777" w:rsidR="0081349D" w:rsidRPr="0081349D" w:rsidRDefault="0081349D" w:rsidP="00C54D22">
      <w:pPr>
        <w:tabs>
          <w:tab w:val="left" w:pos="284"/>
        </w:tabs>
        <w:spacing w:line="360" w:lineRule="auto"/>
        <w:jc w:val="both"/>
        <w:rPr>
          <w:rFonts w:ascii="Calibri" w:hAnsi="Calibri" w:cs="Calibri"/>
          <w:sz w:val="22"/>
          <w:szCs w:val="22"/>
        </w:rPr>
      </w:pPr>
      <w:r w:rsidRPr="0081349D">
        <w:rPr>
          <w:rFonts w:ascii="Calibri" w:hAnsi="Calibri" w:cs="Calibri"/>
          <w:sz w:val="22"/>
          <w:szCs w:val="22"/>
        </w:rPr>
        <w:t>4 – Os tempos de participação nas atividades da prestação de serviço para além do tempo considerado na relação de emprego com o IPP deverão ser justificados e merecer confirmação do Diretor da respetiva UO, no caso dos docentes, ou do Administrador do IPP, no caso dos não docentes.</w:t>
      </w:r>
    </w:p>
    <w:p w14:paraId="67B00251" w14:textId="6C07B679" w:rsidR="0081349D" w:rsidRPr="0081349D" w:rsidRDefault="0081349D" w:rsidP="00C54D22">
      <w:pPr>
        <w:tabs>
          <w:tab w:val="left" w:pos="284"/>
        </w:tabs>
        <w:spacing w:line="360" w:lineRule="auto"/>
        <w:jc w:val="both"/>
        <w:rPr>
          <w:rFonts w:ascii="Calibri" w:hAnsi="Calibri" w:cs="Calibri"/>
          <w:sz w:val="22"/>
          <w:szCs w:val="22"/>
        </w:rPr>
      </w:pPr>
      <w:r w:rsidRPr="0081349D">
        <w:rPr>
          <w:rFonts w:ascii="Calibri" w:hAnsi="Calibri" w:cs="Calibri"/>
          <w:sz w:val="22"/>
          <w:szCs w:val="22"/>
        </w:rPr>
        <w:t>5 – As remunerações referidas nos números anteriores deste artigo serão pagas na sua totalidade ao docente e</w:t>
      </w:r>
      <w:r w:rsidR="00EF0AFC">
        <w:rPr>
          <w:rFonts w:ascii="Calibri" w:hAnsi="Calibri" w:cs="Calibri"/>
          <w:sz w:val="22"/>
          <w:szCs w:val="22"/>
        </w:rPr>
        <w:t>/ou</w:t>
      </w:r>
      <w:r w:rsidRPr="0081349D">
        <w:rPr>
          <w:rFonts w:ascii="Calibri" w:hAnsi="Calibri" w:cs="Calibri"/>
          <w:sz w:val="22"/>
          <w:szCs w:val="22"/>
        </w:rPr>
        <w:t xml:space="preserve"> ao não docente</w:t>
      </w:r>
      <w:r w:rsidR="00D67B34">
        <w:rPr>
          <w:rFonts w:ascii="Calibri" w:hAnsi="Calibri" w:cs="Calibri"/>
          <w:sz w:val="22"/>
          <w:szCs w:val="22"/>
        </w:rPr>
        <w:t xml:space="preserve">, após retirados os </w:t>
      </w:r>
      <w:r w:rsidR="00D67B34">
        <w:rPr>
          <w:rFonts w:ascii="Calibri" w:hAnsi="Calibri" w:cs="Calibri"/>
          <w:i/>
          <w:sz w:val="22"/>
          <w:szCs w:val="22"/>
        </w:rPr>
        <w:t>overheads</w:t>
      </w:r>
      <w:r w:rsidRPr="0081349D">
        <w:rPr>
          <w:rFonts w:ascii="Calibri" w:hAnsi="Calibri" w:cs="Calibri"/>
          <w:sz w:val="22"/>
          <w:szCs w:val="22"/>
        </w:rPr>
        <w:t>.</w:t>
      </w:r>
    </w:p>
    <w:p w14:paraId="6655CF3D" w14:textId="77777777" w:rsidR="0081349D" w:rsidRPr="0081349D" w:rsidRDefault="0081349D" w:rsidP="00C54D22">
      <w:pPr>
        <w:tabs>
          <w:tab w:val="left" w:pos="284"/>
        </w:tabs>
        <w:spacing w:line="360" w:lineRule="auto"/>
        <w:jc w:val="both"/>
        <w:rPr>
          <w:rFonts w:ascii="Calibri" w:hAnsi="Calibri" w:cs="Calibri"/>
          <w:sz w:val="22"/>
          <w:szCs w:val="22"/>
        </w:rPr>
      </w:pPr>
      <w:r w:rsidRPr="0081349D">
        <w:rPr>
          <w:rFonts w:ascii="Calibri" w:hAnsi="Calibri" w:cs="Calibri"/>
          <w:sz w:val="22"/>
          <w:szCs w:val="22"/>
        </w:rPr>
        <w:t>6 – Dos overheads, 50% serão alocados a um centro de custos, de acordo com a respetiva percentagem de horas dedicadas à prestação de serviço:</w:t>
      </w:r>
    </w:p>
    <w:p w14:paraId="04FC53FF" w14:textId="77777777" w:rsidR="0081349D" w:rsidRPr="0081349D" w:rsidRDefault="0081349D" w:rsidP="00EF0AFC">
      <w:pPr>
        <w:numPr>
          <w:ilvl w:val="0"/>
          <w:numId w:val="22"/>
        </w:numPr>
        <w:tabs>
          <w:tab w:val="left" w:pos="0"/>
          <w:tab w:val="left" w:pos="142"/>
          <w:tab w:val="left" w:pos="284"/>
        </w:tabs>
        <w:spacing w:line="360" w:lineRule="auto"/>
        <w:ind w:left="0" w:firstLine="0"/>
        <w:jc w:val="both"/>
        <w:rPr>
          <w:rFonts w:ascii="Calibri" w:hAnsi="Calibri" w:cs="Calibri"/>
          <w:sz w:val="22"/>
          <w:szCs w:val="22"/>
        </w:rPr>
      </w:pPr>
      <w:r w:rsidRPr="0081349D">
        <w:rPr>
          <w:rFonts w:ascii="Calibri" w:hAnsi="Calibri" w:cs="Calibri"/>
          <w:sz w:val="22"/>
          <w:szCs w:val="22"/>
        </w:rPr>
        <w:t>No caso do pessoal docente, esta verba só poderá ser utilizada em iniciativas relativas a investigação e desenvolvimento científico, nomeadamente, despesas inerentes a publicações em revistas científicas e participação em eventos de caráter científico com apresentação de comunicação (incluindo inscrição, deslocação e estadia);</w:t>
      </w:r>
    </w:p>
    <w:p w14:paraId="5F2F0246" w14:textId="77777777" w:rsidR="0081349D" w:rsidRPr="0081349D" w:rsidRDefault="0081349D" w:rsidP="00EF0AFC">
      <w:pPr>
        <w:numPr>
          <w:ilvl w:val="0"/>
          <w:numId w:val="22"/>
        </w:numPr>
        <w:tabs>
          <w:tab w:val="left" w:pos="0"/>
          <w:tab w:val="left" w:pos="142"/>
          <w:tab w:val="left" w:pos="284"/>
        </w:tabs>
        <w:spacing w:line="360" w:lineRule="auto"/>
        <w:ind w:left="0" w:firstLine="0"/>
        <w:jc w:val="both"/>
        <w:rPr>
          <w:rFonts w:ascii="Calibri" w:hAnsi="Calibri" w:cs="Calibri"/>
          <w:sz w:val="22"/>
          <w:szCs w:val="22"/>
        </w:rPr>
      </w:pPr>
      <w:r w:rsidRPr="0081349D">
        <w:rPr>
          <w:rFonts w:ascii="Calibri" w:hAnsi="Calibri" w:cs="Calibri"/>
          <w:sz w:val="22"/>
          <w:szCs w:val="22"/>
        </w:rPr>
        <w:lastRenderedPageBreak/>
        <w:t>No caso do pessoal não docente, esta verba só poderá ser utilizada em iniciativas relativas a atividades de desenvolvimento profissional, nomeadamente ações de formação em áreas ou serviços em desenvolvimento no IPP, após aprovação superior.</w:t>
      </w:r>
    </w:p>
    <w:p w14:paraId="297730D1" w14:textId="77777777" w:rsidR="0081349D" w:rsidRPr="0081349D" w:rsidRDefault="0081349D" w:rsidP="00EF0AFC">
      <w:pPr>
        <w:tabs>
          <w:tab w:val="left" w:pos="0"/>
        </w:tabs>
        <w:spacing w:line="360" w:lineRule="auto"/>
        <w:jc w:val="both"/>
        <w:rPr>
          <w:rFonts w:ascii="Calibri" w:hAnsi="Calibri" w:cs="Calibri"/>
          <w:sz w:val="22"/>
          <w:szCs w:val="22"/>
        </w:rPr>
      </w:pPr>
      <w:r w:rsidRPr="0081349D">
        <w:rPr>
          <w:rFonts w:ascii="Calibri" w:hAnsi="Calibri" w:cs="Calibri"/>
          <w:sz w:val="22"/>
          <w:szCs w:val="22"/>
        </w:rPr>
        <w:t xml:space="preserve">7 – O valor referido no número anterior deverá ser utilizado num prazo de doze meses após o </w:t>
      </w:r>
      <w:r w:rsidR="00B242DF">
        <w:rPr>
          <w:rFonts w:ascii="Calibri" w:hAnsi="Calibri" w:cs="Calibri"/>
          <w:sz w:val="22"/>
          <w:szCs w:val="22"/>
        </w:rPr>
        <w:t xml:space="preserve">último pagamento </w:t>
      </w:r>
      <w:r w:rsidR="001B49C4">
        <w:rPr>
          <w:rFonts w:ascii="Calibri" w:hAnsi="Calibri" w:cs="Calibri"/>
          <w:sz w:val="22"/>
          <w:szCs w:val="22"/>
        </w:rPr>
        <w:t>da</w:t>
      </w:r>
      <w:r w:rsidRPr="0081349D">
        <w:rPr>
          <w:rFonts w:ascii="Calibri" w:hAnsi="Calibri" w:cs="Calibri"/>
          <w:sz w:val="22"/>
          <w:szCs w:val="22"/>
        </w:rPr>
        <w:t xml:space="preserve"> prestação de serviço, </w:t>
      </w:r>
      <w:r w:rsidR="001B49C4">
        <w:rPr>
          <w:rFonts w:ascii="Calibri" w:hAnsi="Calibri" w:cs="Calibri"/>
          <w:sz w:val="22"/>
          <w:szCs w:val="22"/>
        </w:rPr>
        <w:t>extinguindo-se o direito à utilização após tal prazo.</w:t>
      </w:r>
    </w:p>
    <w:p w14:paraId="5C987F4A" w14:textId="77777777" w:rsidR="0081349D" w:rsidRPr="0081349D" w:rsidRDefault="0081349D" w:rsidP="00C54D22">
      <w:pPr>
        <w:tabs>
          <w:tab w:val="left" w:pos="284"/>
        </w:tabs>
        <w:spacing w:line="360" w:lineRule="auto"/>
        <w:jc w:val="both"/>
        <w:rPr>
          <w:rFonts w:ascii="Calibri" w:hAnsi="Calibri" w:cs="Calibri"/>
          <w:sz w:val="22"/>
          <w:szCs w:val="22"/>
        </w:rPr>
      </w:pPr>
    </w:p>
    <w:p w14:paraId="61583104" w14:textId="77777777" w:rsidR="0081349D" w:rsidRPr="0081349D" w:rsidRDefault="0081349D" w:rsidP="00C54D22">
      <w:pPr>
        <w:tabs>
          <w:tab w:val="left" w:pos="284"/>
        </w:tabs>
        <w:spacing w:line="360" w:lineRule="auto"/>
        <w:jc w:val="center"/>
        <w:rPr>
          <w:rFonts w:ascii="Calibri" w:hAnsi="Calibri" w:cs="Calibri"/>
          <w:sz w:val="22"/>
          <w:szCs w:val="22"/>
        </w:rPr>
      </w:pPr>
      <w:r w:rsidRPr="0081349D">
        <w:rPr>
          <w:rFonts w:ascii="Calibri" w:hAnsi="Calibri" w:cs="Calibri"/>
          <w:sz w:val="22"/>
          <w:szCs w:val="22"/>
        </w:rPr>
        <w:t xml:space="preserve">Artigo 9.º </w:t>
      </w:r>
    </w:p>
    <w:p w14:paraId="0F5D5F51" w14:textId="77777777" w:rsidR="0081349D" w:rsidRPr="0081349D" w:rsidRDefault="0081349D" w:rsidP="00C54D22">
      <w:pPr>
        <w:tabs>
          <w:tab w:val="left" w:pos="284"/>
        </w:tabs>
        <w:spacing w:line="360" w:lineRule="auto"/>
        <w:jc w:val="center"/>
        <w:rPr>
          <w:rFonts w:ascii="Calibri" w:hAnsi="Calibri" w:cs="Calibri"/>
          <w:b/>
          <w:sz w:val="22"/>
          <w:szCs w:val="22"/>
        </w:rPr>
      </w:pPr>
      <w:r w:rsidRPr="0081349D">
        <w:rPr>
          <w:rFonts w:ascii="Calibri" w:hAnsi="Calibri" w:cs="Calibri"/>
          <w:b/>
          <w:sz w:val="22"/>
          <w:szCs w:val="22"/>
        </w:rPr>
        <w:t>Avaliação anual</w:t>
      </w:r>
    </w:p>
    <w:p w14:paraId="0C1E5961" w14:textId="77777777" w:rsidR="0081349D" w:rsidRPr="0081349D" w:rsidRDefault="0081349D" w:rsidP="00C54D22">
      <w:pPr>
        <w:tabs>
          <w:tab w:val="left" w:pos="284"/>
        </w:tabs>
        <w:spacing w:line="360" w:lineRule="auto"/>
        <w:jc w:val="both"/>
        <w:rPr>
          <w:rFonts w:ascii="Calibri" w:hAnsi="Calibri" w:cs="Calibri"/>
          <w:sz w:val="22"/>
          <w:szCs w:val="22"/>
        </w:rPr>
      </w:pPr>
      <w:r w:rsidRPr="0081349D">
        <w:rPr>
          <w:rFonts w:ascii="Calibri" w:hAnsi="Calibri" w:cs="Calibri"/>
          <w:sz w:val="22"/>
          <w:szCs w:val="22"/>
        </w:rPr>
        <w:t>Para efeitos de avaliação anual, a C3i apresentará:</w:t>
      </w:r>
    </w:p>
    <w:p w14:paraId="0357A580" w14:textId="77777777" w:rsidR="0081349D" w:rsidRPr="0081349D" w:rsidRDefault="0081349D" w:rsidP="001A04F4">
      <w:pPr>
        <w:numPr>
          <w:ilvl w:val="0"/>
          <w:numId w:val="20"/>
        </w:numPr>
        <w:tabs>
          <w:tab w:val="left" w:pos="284"/>
        </w:tabs>
        <w:spacing w:line="360" w:lineRule="auto"/>
        <w:ind w:left="0" w:firstLine="0"/>
        <w:jc w:val="both"/>
        <w:rPr>
          <w:rFonts w:ascii="Calibri" w:hAnsi="Calibri" w:cs="Calibri"/>
          <w:sz w:val="22"/>
          <w:szCs w:val="22"/>
        </w:rPr>
      </w:pPr>
      <w:r w:rsidRPr="0081349D">
        <w:rPr>
          <w:rFonts w:ascii="Calibri" w:hAnsi="Calibri" w:cs="Calibri"/>
          <w:sz w:val="22"/>
          <w:szCs w:val="22"/>
        </w:rPr>
        <w:t>Inventariação de todas as prestações de serviço executadas ou em execução e respetivos balancetes financeiros;</w:t>
      </w:r>
    </w:p>
    <w:p w14:paraId="5474C902" w14:textId="77777777" w:rsidR="0081349D" w:rsidRPr="0081349D" w:rsidRDefault="0081349D" w:rsidP="001A04F4">
      <w:pPr>
        <w:numPr>
          <w:ilvl w:val="0"/>
          <w:numId w:val="20"/>
        </w:numPr>
        <w:tabs>
          <w:tab w:val="left" w:pos="284"/>
        </w:tabs>
        <w:spacing w:line="360" w:lineRule="auto"/>
        <w:ind w:left="0" w:firstLine="0"/>
        <w:jc w:val="both"/>
        <w:rPr>
          <w:rFonts w:ascii="Calibri" w:hAnsi="Calibri" w:cs="Calibri"/>
          <w:sz w:val="22"/>
          <w:szCs w:val="22"/>
        </w:rPr>
      </w:pPr>
      <w:r w:rsidRPr="0081349D">
        <w:rPr>
          <w:rFonts w:ascii="Calibri" w:hAnsi="Calibri" w:cs="Calibri"/>
          <w:sz w:val="22"/>
          <w:szCs w:val="22"/>
        </w:rPr>
        <w:t xml:space="preserve">Relação de </w:t>
      </w:r>
      <w:r w:rsidR="00493404">
        <w:rPr>
          <w:rFonts w:ascii="Calibri" w:hAnsi="Calibri" w:cs="Calibri"/>
          <w:sz w:val="22"/>
          <w:szCs w:val="22"/>
        </w:rPr>
        <w:t>bens/</w:t>
      </w:r>
      <w:r w:rsidRPr="0081349D">
        <w:rPr>
          <w:rFonts w:ascii="Calibri" w:hAnsi="Calibri" w:cs="Calibri"/>
          <w:sz w:val="22"/>
          <w:szCs w:val="22"/>
        </w:rPr>
        <w:t>equipamentos adquiridos e inventariados resultantes da execução das prestações de serviço.</w:t>
      </w:r>
    </w:p>
    <w:p w14:paraId="1F5043B2" w14:textId="77777777" w:rsidR="0081349D" w:rsidRPr="0081349D" w:rsidRDefault="0081349D" w:rsidP="00C54D22">
      <w:pPr>
        <w:tabs>
          <w:tab w:val="left" w:pos="284"/>
        </w:tabs>
        <w:spacing w:line="360" w:lineRule="auto"/>
        <w:jc w:val="center"/>
        <w:rPr>
          <w:rFonts w:ascii="Calibri" w:hAnsi="Calibri" w:cs="Calibri"/>
          <w:sz w:val="22"/>
          <w:szCs w:val="22"/>
        </w:rPr>
      </w:pPr>
    </w:p>
    <w:p w14:paraId="6541C1B4" w14:textId="77777777" w:rsidR="0081349D" w:rsidRPr="0081349D" w:rsidRDefault="0081349D" w:rsidP="00C54D22">
      <w:pPr>
        <w:tabs>
          <w:tab w:val="left" w:pos="284"/>
        </w:tabs>
        <w:spacing w:line="360" w:lineRule="auto"/>
        <w:jc w:val="center"/>
        <w:rPr>
          <w:rFonts w:ascii="Calibri" w:hAnsi="Calibri" w:cs="Calibri"/>
          <w:sz w:val="22"/>
          <w:szCs w:val="22"/>
        </w:rPr>
      </w:pPr>
      <w:r w:rsidRPr="0081349D">
        <w:rPr>
          <w:rFonts w:ascii="Calibri" w:hAnsi="Calibri" w:cs="Calibri"/>
          <w:sz w:val="22"/>
          <w:szCs w:val="22"/>
        </w:rPr>
        <w:t>Artigo 10.º</w:t>
      </w:r>
    </w:p>
    <w:p w14:paraId="26B0FF84" w14:textId="77777777" w:rsidR="0081349D" w:rsidRPr="0081349D" w:rsidRDefault="0081349D" w:rsidP="00C54D22">
      <w:pPr>
        <w:tabs>
          <w:tab w:val="left" w:pos="284"/>
        </w:tabs>
        <w:spacing w:line="360" w:lineRule="auto"/>
        <w:jc w:val="center"/>
        <w:rPr>
          <w:rFonts w:ascii="Calibri" w:hAnsi="Calibri" w:cs="Calibri"/>
          <w:b/>
          <w:sz w:val="22"/>
          <w:szCs w:val="22"/>
        </w:rPr>
      </w:pPr>
      <w:r w:rsidRPr="0081349D">
        <w:rPr>
          <w:rFonts w:ascii="Calibri" w:hAnsi="Calibri" w:cs="Calibri"/>
          <w:b/>
          <w:sz w:val="22"/>
          <w:szCs w:val="22"/>
        </w:rPr>
        <w:t>Exclusões</w:t>
      </w:r>
    </w:p>
    <w:p w14:paraId="6F473EB8" w14:textId="77777777" w:rsidR="0081349D" w:rsidRPr="0081349D" w:rsidRDefault="0081349D" w:rsidP="00C54D22">
      <w:pPr>
        <w:tabs>
          <w:tab w:val="left" w:pos="284"/>
        </w:tabs>
        <w:spacing w:line="360" w:lineRule="auto"/>
        <w:jc w:val="both"/>
        <w:rPr>
          <w:rFonts w:ascii="Calibri" w:hAnsi="Calibri" w:cs="Calibri"/>
          <w:sz w:val="22"/>
          <w:szCs w:val="22"/>
        </w:rPr>
      </w:pPr>
      <w:r w:rsidRPr="0081349D">
        <w:rPr>
          <w:rFonts w:ascii="Calibri" w:hAnsi="Calibri" w:cs="Calibri"/>
          <w:sz w:val="22"/>
          <w:szCs w:val="22"/>
        </w:rPr>
        <w:t>1 – A entidade externa não pode realizar pagamentos a título individual a docentes e não docentes do IPP, com exceção dos relativos a encargos com deslocações e ajudas de custo.</w:t>
      </w:r>
    </w:p>
    <w:p w14:paraId="1B3E1BE5" w14:textId="77777777" w:rsidR="0081349D" w:rsidRPr="0081349D" w:rsidRDefault="0081349D" w:rsidP="00C54D22">
      <w:pPr>
        <w:tabs>
          <w:tab w:val="left" w:pos="284"/>
        </w:tabs>
        <w:spacing w:line="360" w:lineRule="auto"/>
        <w:jc w:val="both"/>
        <w:rPr>
          <w:rFonts w:ascii="Calibri" w:hAnsi="Calibri" w:cs="Calibri"/>
          <w:sz w:val="22"/>
          <w:szCs w:val="22"/>
        </w:rPr>
      </w:pPr>
      <w:r w:rsidRPr="0081349D">
        <w:rPr>
          <w:rFonts w:ascii="Calibri" w:hAnsi="Calibri" w:cs="Calibri"/>
          <w:sz w:val="22"/>
          <w:szCs w:val="22"/>
        </w:rPr>
        <w:t xml:space="preserve">2 – O presente Regulamento não se aplica à prestação de serviço docente ou quaisquer outras atividades prestadas, a título individual, por docentes e não docentes do IPP, que estejam enquadradas e regulamentadas no Estatuto da Carreira do Pessoal Docente do Ensino Superior Politécnico, na Lei de Trabalho em Funções Públicas, e </w:t>
      </w:r>
      <w:proofErr w:type="gramStart"/>
      <w:r w:rsidRPr="0081349D">
        <w:rPr>
          <w:rFonts w:ascii="Calibri" w:hAnsi="Calibri" w:cs="Calibri"/>
          <w:sz w:val="22"/>
          <w:szCs w:val="22"/>
        </w:rPr>
        <w:t>demais legislação aplicável e vigente</w:t>
      </w:r>
      <w:proofErr w:type="gramEnd"/>
      <w:r w:rsidRPr="0081349D">
        <w:rPr>
          <w:rFonts w:ascii="Calibri" w:hAnsi="Calibri" w:cs="Calibri"/>
          <w:sz w:val="22"/>
          <w:szCs w:val="22"/>
        </w:rPr>
        <w:t>, devendo obedecer ao regime geral em vigor, nomeadamente, sobre regimes de exclusividade, de impedimentos e acumulações.</w:t>
      </w:r>
    </w:p>
    <w:p w14:paraId="38C0EE31" w14:textId="77777777" w:rsidR="0081349D" w:rsidRPr="0081349D" w:rsidRDefault="0081349D" w:rsidP="00C54D22">
      <w:pPr>
        <w:tabs>
          <w:tab w:val="left" w:pos="284"/>
        </w:tabs>
        <w:spacing w:line="360" w:lineRule="auto"/>
        <w:jc w:val="both"/>
        <w:rPr>
          <w:rFonts w:ascii="Calibri" w:hAnsi="Calibri" w:cs="Calibri"/>
          <w:sz w:val="22"/>
          <w:szCs w:val="22"/>
        </w:rPr>
      </w:pPr>
    </w:p>
    <w:p w14:paraId="5C7EAB03" w14:textId="77777777" w:rsidR="0081349D" w:rsidRPr="0081349D" w:rsidRDefault="0081349D" w:rsidP="00C54D22">
      <w:pPr>
        <w:tabs>
          <w:tab w:val="left" w:pos="284"/>
        </w:tabs>
        <w:spacing w:line="360" w:lineRule="auto"/>
        <w:jc w:val="center"/>
        <w:rPr>
          <w:rFonts w:ascii="Calibri" w:hAnsi="Calibri" w:cs="Calibri"/>
          <w:sz w:val="22"/>
          <w:szCs w:val="22"/>
        </w:rPr>
      </w:pPr>
      <w:r w:rsidRPr="0081349D">
        <w:rPr>
          <w:rFonts w:ascii="Calibri" w:hAnsi="Calibri" w:cs="Calibri"/>
          <w:sz w:val="22"/>
          <w:szCs w:val="22"/>
        </w:rPr>
        <w:t xml:space="preserve">Artigo 11.º </w:t>
      </w:r>
    </w:p>
    <w:p w14:paraId="02736A6F" w14:textId="77777777" w:rsidR="0081349D" w:rsidRPr="0081349D" w:rsidRDefault="0081349D" w:rsidP="00C54D22">
      <w:pPr>
        <w:tabs>
          <w:tab w:val="left" w:pos="284"/>
        </w:tabs>
        <w:spacing w:line="360" w:lineRule="auto"/>
        <w:jc w:val="center"/>
        <w:rPr>
          <w:rFonts w:ascii="Calibri" w:hAnsi="Calibri" w:cs="Calibri"/>
          <w:b/>
          <w:sz w:val="22"/>
          <w:szCs w:val="22"/>
        </w:rPr>
      </w:pPr>
      <w:r w:rsidRPr="0081349D">
        <w:rPr>
          <w:rFonts w:ascii="Calibri" w:hAnsi="Calibri" w:cs="Calibri"/>
          <w:b/>
          <w:sz w:val="22"/>
          <w:szCs w:val="22"/>
        </w:rPr>
        <w:t>Disposições finais e transitórias</w:t>
      </w:r>
    </w:p>
    <w:p w14:paraId="20C6DDB9" w14:textId="77777777" w:rsidR="0081349D" w:rsidRDefault="0081349D" w:rsidP="00C54D22">
      <w:pPr>
        <w:tabs>
          <w:tab w:val="left" w:pos="284"/>
        </w:tabs>
        <w:spacing w:line="360" w:lineRule="auto"/>
        <w:jc w:val="both"/>
        <w:rPr>
          <w:rFonts w:ascii="Calibri" w:hAnsi="Calibri" w:cs="Calibri"/>
          <w:sz w:val="22"/>
          <w:szCs w:val="22"/>
        </w:rPr>
      </w:pPr>
      <w:r w:rsidRPr="0081349D">
        <w:rPr>
          <w:rFonts w:ascii="Calibri" w:hAnsi="Calibri" w:cs="Calibri"/>
          <w:sz w:val="22"/>
          <w:szCs w:val="22"/>
        </w:rPr>
        <w:t>As prestações de serviço existentes à data de entrada em vigor do presente Regulamento serão concluídas e encerradas de acordo com os contratos/acordos ou protocolos em vigor à data da sua constituição e respetivo regulamento do IPP.</w:t>
      </w:r>
    </w:p>
    <w:p w14:paraId="0834BAEF" w14:textId="77777777" w:rsidR="00493404" w:rsidRPr="0081349D" w:rsidRDefault="00493404" w:rsidP="00C54D22">
      <w:pPr>
        <w:tabs>
          <w:tab w:val="left" w:pos="284"/>
        </w:tabs>
        <w:spacing w:line="360" w:lineRule="auto"/>
        <w:jc w:val="both"/>
        <w:rPr>
          <w:rFonts w:ascii="Calibri" w:hAnsi="Calibri" w:cs="Calibri"/>
          <w:sz w:val="22"/>
          <w:szCs w:val="22"/>
        </w:rPr>
      </w:pPr>
    </w:p>
    <w:p w14:paraId="2251AA29" w14:textId="77777777" w:rsidR="0077558F" w:rsidRDefault="0077558F" w:rsidP="00C54D22">
      <w:pPr>
        <w:tabs>
          <w:tab w:val="left" w:pos="284"/>
        </w:tabs>
        <w:spacing w:line="360" w:lineRule="auto"/>
        <w:jc w:val="center"/>
        <w:rPr>
          <w:rFonts w:ascii="Calibri" w:hAnsi="Calibri" w:cs="Calibri"/>
          <w:sz w:val="22"/>
          <w:szCs w:val="22"/>
        </w:rPr>
      </w:pPr>
    </w:p>
    <w:p w14:paraId="69F41A32" w14:textId="11FFEDC7" w:rsidR="0081349D" w:rsidRPr="0081349D" w:rsidRDefault="0081349D" w:rsidP="00C54D22">
      <w:pPr>
        <w:tabs>
          <w:tab w:val="left" w:pos="284"/>
        </w:tabs>
        <w:spacing w:line="360" w:lineRule="auto"/>
        <w:jc w:val="center"/>
        <w:rPr>
          <w:rFonts w:ascii="Calibri" w:hAnsi="Calibri" w:cs="Calibri"/>
          <w:sz w:val="22"/>
          <w:szCs w:val="22"/>
        </w:rPr>
      </w:pPr>
      <w:r w:rsidRPr="0081349D">
        <w:rPr>
          <w:rFonts w:ascii="Calibri" w:hAnsi="Calibri" w:cs="Calibri"/>
          <w:sz w:val="22"/>
          <w:szCs w:val="22"/>
        </w:rPr>
        <w:lastRenderedPageBreak/>
        <w:t xml:space="preserve">Artigo 12.º </w:t>
      </w:r>
    </w:p>
    <w:p w14:paraId="549DD2EB" w14:textId="77777777" w:rsidR="0081349D" w:rsidRPr="0081349D" w:rsidRDefault="0081349D" w:rsidP="00C54D22">
      <w:pPr>
        <w:tabs>
          <w:tab w:val="left" w:pos="284"/>
        </w:tabs>
        <w:spacing w:line="360" w:lineRule="auto"/>
        <w:jc w:val="center"/>
        <w:rPr>
          <w:rFonts w:ascii="Calibri" w:hAnsi="Calibri" w:cs="Calibri"/>
          <w:b/>
          <w:sz w:val="22"/>
          <w:szCs w:val="22"/>
        </w:rPr>
      </w:pPr>
      <w:r w:rsidRPr="0081349D">
        <w:rPr>
          <w:rFonts w:ascii="Calibri" w:hAnsi="Calibri" w:cs="Calibri"/>
          <w:b/>
          <w:sz w:val="22"/>
          <w:szCs w:val="22"/>
        </w:rPr>
        <w:t>Dúvidas e omissões</w:t>
      </w:r>
    </w:p>
    <w:p w14:paraId="45B16AA5" w14:textId="77777777" w:rsidR="0081349D" w:rsidRPr="0081349D" w:rsidRDefault="0081349D" w:rsidP="00C54D22">
      <w:pPr>
        <w:tabs>
          <w:tab w:val="left" w:pos="284"/>
        </w:tabs>
        <w:spacing w:line="360" w:lineRule="auto"/>
        <w:jc w:val="both"/>
        <w:rPr>
          <w:rFonts w:ascii="Calibri" w:hAnsi="Calibri" w:cs="Calibri"/>
          <w:sz w:val="22"/>
          <w:szCs w:val="22"/>
        </w:rPr>
      </w:pPr>
      <w:r w:rsidRPr="0081349D">
        <w:rPr>
          <w:rFonts w:ascii="Calibri" w:hAnsi="Calibri" w:cs="Calibri"/>
          <w:sz w:val="22"/>
          <w:szCs w:val="22"/>
        </w:rPr>
        <w:t>As dúvidas e omissões do presente regulamento serão decididas pelo Presidente do IPP.</w:t>
      </w:r>
    </w:p>
    <w:p w14:paraId="42551DA6" w14:textId="77777777" w:rsidR="00B916BD" w:rsidRPr="0081349D" w:rsidRDefault="00B916BD" w:rsidP="00C54D22">
      <w:pPr>
        <w:tabs>
          <w:tab w:val="left" w:pos="284"/>
        </w:tabs>
        <w:spacing w:line="360" w:lineRule="auto"/>
        <w:jc w:val="center"/>
        <w:rPr>
          <w:rFonts w:ascii="Calibri" w:hAnsi="Calibri" w:cs="Calibri"/>
          <w:sz w:val="22"/>
          <w:szCs w:val="22"/>
        </w:rPr>
      </w:pPr>
    </w:p>
    <w:p w14:paraId="565F3DBF" w14:textId="77777777" w:rsidR="0081349D" w:rsidRPr="0081349D" w:rsidRDefault="0081349D" w:rsidP="00C54D22">
      <w:pPr>
        <w:tabs>
          <w:tab w:val="left" w:pos="284"/>
        </w:tabs>
        <w:spacing w:line="360" w:lineRule="auto"/>
        <w:jc w:val="center"/>
        <w:rPr>
          <w:rFonts w:ascii="Calibri" w:hAnsi="Calibri" w:cs="Calibri"/>
          <w:sz w:val="22"/>
          <w:szCs w:val="22"/>
        </w:rPr>
      </w:pPr>
      <w:r w:rsidRPr="0081349D">
        <w:rPr>
          <w:rFonts w:ascii="Calibri" w:hAnsi="Calibri" w:cs="Calibri"/>
          <w:sz w:val="22"/>
          <w:szCs w:val="22"/>
        </w:rPr>
        <w:t xml:space="preserve">Artigo 13.º </w:t>
      </w:r>
    </w:p>
    <w:p w14:paraId="1ED0BD6D" w14:textId="77777777" w:rsidR="0081349D" w:rsidRDefault="0081349D" w:rsidP="00C54D22">
      <w:pPr>
        <w:tabs>
          <w:tab w:val="left" w:pos="284"/>
        </w:tabs>
        <w:spacing w:line="360" w:lineRule="auto"/>
        <w:jc w:val="center"/>
        <w:rPr>
          <w:rFonts w:ascii="Calibri" w:hAnsi="Calibri" w:cs="Calibri"/>
          <w:b/>
          <w:sz w:val="22"/>
          <w:szCs w:val="22"/>
        </w:rPr>
      </w:pPr>
      <w:r w:rsidRPr="0081349D">
        <w:rPr>
          <w:rFonts w:ascii="Calibri" w:hAnsi="Calibri" w:cs="Calibri"/>
          <w:b/>
          <w:sz w:val="22"/>
          <w:szCs w:val="22"/>
        </w:rPr>
        <w:t xml:space="preserve">Entrada em vigor </w:t>
      </w:r>
    </w:p>
    <w:p w14:paraId="48FFCDCC" w14:textId="77777777" w:rsidR="0081349D" w:rsidRDefault="0081349D" w:rsidP="00C54D22">
      <w:pPr>
        <w:tabs>
          <w:tab w:val="left" w:pos="284"/>
          <w:tab w:val="center" w:pos="4252"/>
          <w:tab w:val="right" w:pos="8504"/>
        </w:tabs>
        <w:spacing w:line="360" w:lineRule="auto"/>
        <w:jc w:val="both"/>
        <w:rPr>
          <w:rFonts w:ascii="Calibri" w:hAnsi="Calibri" w:cs="Calibri"/>
          <w:sz w:val="22"/>
          <w:szCs w:val="22"/>
        </w:rPr>
      </w:pPr>
      <w:r w:rsidRPr="0081349D">
        <w:rPr>
          <w:rFonts w:ascii="Calibri" w:hAnsi="Calibri" w:cs="Calibri"/>
          <w:sz w:val="22"/>
          <w:szCs w:val="22"/>
        </w:rPr>
        <w:t>O presente Regimento entra em vigor no dia imediatamente a seguir ao da sua publicitação nos termos legais.</w:t>
      </w:r>
    </w:p>
    <w:p w14:paraId="1886E4BA" w14:textId="77777777" w:rsidR="0081349D" w:rsidRPr="0081349D" w:rsidRDefault="0081349D" w:rsidP="00C54D22">
      <w:pPr>
        <w:tabs>
          <w:tab w:val="left" w:pos="284"/>
        </w:tabs>
        <w:spacing w:line="360" w:lineRule="auto"/>
        <w:jc w:val="center"/>
        <w:rPr>
          <w:rFonts w:ascii="Calibri" w:hAnsi="Calibri" w:cs="Calibri"/>
          <w:b/>
          <w:sz w:val="22"/>
          <w:szCs w:val="22"/>
        </w:rPr>
      </w:pPr>
      <w:r w:rsidRPr="0081349D">
        <w:rPr>
          <w:rFonts w:ascii="Calibri" w:hAnsi="Calibri" w:cs="Calibri"/>
          <w:b/>
          <w:sz w:val="22"/>
          <w:szCs w:val="22"/>
        </w:rPr>
        <w:t>ANEXO I</w:t>
      </w:r>
    </w:p>
    <w:p w14:paraId="0A017057" w14:textId="77777777" w:rsidR="0081349D" w:rsidRPr="0081349D" w:rsidRDefault="0081349D" w:rsidP="00C54D22">
      <w:pPr>
        <w:tabs>
          <w:tab w:val="left" w:pos="284"/>
        </w:tabs>
        <w:spacing w:line="360" w:lineRule="auto"/>
        <w:jc w:val="center"/>
        <w:rPr>
          <w:rFonts w:ascii="Calibri" w:hAnsi="Calibri" w:cs="Calibri"/>
          <w:b/>
          <w:sz w:val="22"/>
          <w:szCs w:val="22"/>
        </w:rPr>
      </w:pPr>
      <w:r w:rsidRPr="0081349D">
        <w:rPr>
          <w:rFonts w:ascii="Calibri" w:hAnsi="Calibri" w:cs="Calibri"/>
          <w:b/>
          <w:sz w:val="22"/>
          <w:szCs w:val="22"/>
        </w:rPr>
        <w:t>Tabela 1 – Orçamento</w:t>
      </w:r>
    </w:p>
    <w:tbl>
      <w:tblPr>
        <w:tblStyle w:val="Tabelacomgrelha"/>
        <w:tblW w:w="0" w:type="auto"/>
        <w:tblLook w:val="04A0" w:firstRow="1" w:lastRow="0" w:firstColumn="1" w:lastColumn="0" w:noHBand="0" w:noVBand="1"/>
      </w:tblPr>
      <w:tblGrid>
        <w:gridCol w:w="4247"/>
        <w:gridCol w:w="4247"/>
      </w:tblGrid>
      <w:tr w:rsidR="0081349D" w:rsidRPr="0081349D" w14:paraId="3E4BFD67" w14:textId="77777777" w:rsidTr="008168B5">
        <w:trPr>
          <w:trHeight w:val="448"/>
        </w:trPr>
        <w:tc>
          <w:tcPr>
            <w:tcW w:w="4247" w:type="dxa"/>
            <w:tcBorders>
              <w:top w:val="single" w:sz="2" w:space="0" w:color="auto"/>
              <w:left w:val="nil"/>
              <w:bottom w:val="single" w:sz="12" w:space="0" w:color="808080" w:themeColor="background1" w:themeShade="80"/>
              <w:right w:val="single" w:sz="12" w:space="0" w:color="808080" w:themeColor="background1" w:themeShade="80"/>
            </w:tcBorders>
            <w:vAlign w:val="center"/>
          </w:tcPr>
          <w:p w14:paraId="743F78FE" w14:textId="77777777" w:rsidR="0081349D" w:rsidRPr="0081349D" w:rsidRDefault="0081349D" w:rsidP="00C54D22">
            <w:pPr>
              <w:tabs>
                <w:tab w:val="left" w:pos="284"/>
              </w:tabs>
              <w:spacing w:line="360" w:lineRule="auto"/>
              <w:jc w:val="center"/>
              <w:rPr>
                <w:rFonts w:ascii="Calibri" w:hAnsi="Calibri" w:cs="Calibri"/>
                <w:sz w:val="22"/>
                <w:szCs w:val="22"/>
              </w:rPr>
            </w:pPr>
            <w:r w:rsidRPr="0081349D">
              <w:rPr>
                <w:rFonts w:ascii="Calibri" w:hAnsi="Calibri" w:cs="Calibri"/>
                <w:sz w:val="22"/>
                <w:szCs w:val="22"/>
              </w:rPr>
              <w:t>Rubricas (R)</w:t>
            </w:r>
          </w:p>
        </w:tc>
        <w:tc>
          <w:tcPr>
            <w:tcW w:w="4247" w:type="dxa"/>
            <w:tcBorders>
              <w:top w:val="single" w:sz="2" w:space="0" w:color="auto"/>
              <w:left w:val="single" w:sz="12" w:space="0" w:color="808080" w:themeColor="background1" w:themeShade="80"/>
              <w:bottom w:val="single" w:sz="12" w:space="0" w:color="808080" w:themeColor="background1" w:themeShade="80"/>
              <w:right w:val="nil"/>
            </w:tcBorders>
          </w:tcPr>
          <w:p w14:paraId="42119BBD" w14:textId="77777777" w:rsidR="0081349D" w:rsidRPr="0081349D" w:rsidRDefault="0081349D" w:rsidP="00C54D22">
            <w:pPr>
              <w:tabs>
                <w:tab w:val="left" w:pos="284"/>
              </w:tabs>
              <w:spacing w:line="360" w:lineRule="auto"/>
              <w:jc w:val="center"/>
              <w:rPr>
                <w:rFonts w:ascii="Calibri" w:hAnsi="Calibri" w:cs="Calibri"/>
                <w:sz w:val="22"/>
                <w:szCs w:val="22"/>
              </w:rPr>
            </w:pPr>
          </w:p>
          <w:p w14:paraId="3890780E" w14:textId="77777777" w:rsidR="0081349D" w:rsidRPr="0081349D" w:rsidRDefault="0081349D" w:rsidP="00C54D22">
            <w:pPr>
              <w:tabs>
                <w:tab w:val="left" w:pos="284"/>
              </w:tabs>
              <w:spacing w:line="360" w:lineRule="auto"/>
              <w:jc w:val="center"/>
              <w:rPr>
                <w:rFonts w:ascii="Calibri" w:hAnsi="Calibri" w:cs="Calibri"/>
                <w:sz w:val="22"/>
                <w:szCs w:val="22"/>
              </w:rPr>
            </w:pPr>
            <w:r w:rsidRPr="0081349D">
              <w:rPr>
                <w:rFonts w:ascii="Calibri" w:hAnsi="Calibri" w:cs="Calibri"/>
                <w:sz w:val="22"/>
                <w:szCs w:val="22"/>
              </w:rPr>
              <w:t>(em euros)</w:t>
            </w:r>
          </w:p>
          <w:p w14:paraId="195A7520" w14:textId="77777777" w:rsidR="0081349D" w:rsidRPr="0081349D" w:rsidRDefault="0081349D" w:rsidP="00C54D22">
            <w:pPr>
              <w:tabs>
                <w:tab w:val="left" w:pos="284"/>
              </w:tabs>
              <w:spacing w:line="360" w:lineRule="auto"/>
              <w:jc w:val="center"/>
              <w:rPr>
                <w:rFonts w:ascii="Calibri" w:hAnsi="Calibri" w:cs="Calibri"/>
                <w:sz w:val="22"/>
                <w:szCs w:val="22"/>
              </w:rPr>
            </w:pPr>
          </w:p>
        </w:tc>
      </w:tr>
      <w:tr w:rsidR="0081349D" w:rsidRPr="0081349D" w14:paraId="5715BC71" w14:textId="77777777" w:rsidTr="008168B5">
        <w:trPr>
          <w:trHeight w:val="170"/>
        </w:trPr>
        <w:tc>
          <w:tcPr>
            <w:tcW w:w="4247" w:type="dxa"/>
            <w:tcBorders>
              <w:top w:val="single" w:sz="12" w:space="0" w:color="808080" w:themeColor="background1" w:themeShade="80"/>
              <w:left w:val="nil"/>
              <w:bottom w:val="nil"/>
              <w:right w:val="single" w:sz="12" w:space="0" w:color="808080" w:themeColor="background1" w:themeShade="80"/>
            </w:tcBorders>
          </w:tcPr>
          <w:p w14:paraId="04453BC7" w14:textId="77777777" w:rsidR="0081349D" w:rsidRPr="0081349D" w:rsidRDefault="0081349D" w:rsidP="00C54D22">
            <w:pPr>
              <w:tabs>
                <w:tab w:val="left" w:pos="284"/>
              </w:tabs>
              <w:spacing w:line="360" w:lineRule="auto"/>
              <w:rPr>
                <w:rFonts w:ascii="Calibri" w:hAnsi="Calibri"/>
                <w:b/>
                <w:sz w:val="18"/>
                <w:szCs w:val="18"/>
              </w:rPr>
            </w:pPr>
          </w:p>
          <w:p w14:paraId="6F12EF39" w14:textId="77777777" w:rsidR="0081349D" w:rsidRPr="0081349D" w:rsidRDefault="0081349D" w:rsidP="00C54D22">
            <w:pPr>
              <w:tabs>
                <w:tab w:val="left" w:pos="284"/>
              </w:tabs>
              <w:spacing w:line="360" w:lineRule="auto"/>
              <w:rPr>
                <w:rFonts w:ascii="Calibri" w:hAnsi="Calibri"/>
                <w:b/>
                <w:sz w:val="18"/>
                <w:szCs w:val="18"/>
              </w:rPr>
            </w:pPr>
            <w:r w:rsidRPr="0081349D">
              <w:rPr>
                <w:rFonts w:ascii="Calibri" w:hAnsi="Calibri"/>
                <w:b/>
                <w:sz w:val="18"/>
                <w:szCs w:val="18"/>
              </w:rPr>
              <w:t>Despesas de funcionamento (DF):</w:t>
            </w:r>
          </w:p>
          <w:p w14:paraId="447044CF" w14:textId="77777777" w:rsidR="0081349D" w:rsidRPr="0081349D" w:rsidRDefault="0081349D" w:rsidP="00C54D22">
            <w:pPr>
              <w:tabs>
                <w:tab w:val="left" w:pos="284"/>
              </w:tabs>
              <w:spacing w:line="360" w:lineRule="auto"/>
              <w:rPr>
                <w:rFonts w:ascii="Calibri" w:hAnsi="Calibri"/>
                <w:sz w:val="18"/>
                <w:szCs w:val="18"/>
              </w:rPr>
            </w:pPr>
            <w:r w:rsidRPr="0081349D">
              <w:rPr>
                <w:rFonts w:ascii="Calibri" w:hAnsi="Calibri" w:cs="Calibri"/>
                <w:sz w:val="18"/>
                <w:szCs w:val="18"/>
              </w:rPr>
              <w:t xml:space="preserve">. </w:t>
            </w:r>
            <w:r w:rsidRPr="0081349D">
              <w:rPr>
                <w:rFonts w:ascii="Calibri" w:hAnsi="Calibri"/>
                <w:sz w:val="18"/>
                <w:szCs w:val="18"/>
              </w:rPr>
              <w:t xml:space="preserve">Recursos Humanos (RH) . . . . . . . . . . . . . . . . . . . . . </w:t>
            </w:r>
            <w:proofErr w:type="gramStart"/>
            <w:r w:rsidRPr="0081349D">
              <w:rPr>
                <w:rFonts w:ascii="Calibri" w:hAnsi="Calibri"/>
                <w:sz w:val="18"/>
                <w:szCs w:val="18"/>
              </w:rPr>
              <w:t>. . . .</w:t>
            </w:r>
            <w:proofErr w:type="gramEnd"/>
            <w:r w:rsidRPr="0081349D">
              <w:rPr>
                <w:rFonts w:ascii="Calibri" w:hAnsi="Calibri"/>
                <w:sz w:val="18"/>
                <w:szCs w:val="18"/>
              </w:rPr>
              <w:t xml:space="preserve"> </w:t>
            </w:r>
          </w:p>
        </w:tc>
        <w:tc>
          <w:tcPr>
            <w:tcW w:w="4247" w:type="dxa"/>
            <w:tcBorders>
              <w:top w:val="single" w:sz="12" w:space="0" w:color="808080" w:themeColor="background1" w:themeShade="80"/>
              <w:left w:val="single" w:sz="12" w:space="0" w:color="808080" w:themeColor="background1" w:themeShade="80"/>
              <w:bottom w:val="nil"/>
              <w:right w:val="nil"/>
            </w:tcBorders>
          </w:tcPr>
          <w:p w14:paraId="220C90A5" w14:textId="77777777" w:rsidR="0081349D" w:rsidRPr="0081349D" w:rsidRDefault="0081349D" w:rsidP="00C54D22">
            <w:pPr>
              <w:tabs>
                <w:tab w:val="left" w:pos="284"/>
              </w:tabs>
              <w:spacing w:line="360" w:lineRule="auto"/>
              <w:rPr>
                <w:rFonts w:ascii="Calibri" w:hAnsi="Calibri"/>
                <w:sz w:val="18"/>
                <w:szCs w:val="18"/>
              </w:rPr>
            </w:pPr>
          </w:p>
        </w:tc>
      </w:tr>
      <w:tr w:rsidR="0081349D" w:rsidRPr="0081349D" w14:paraId="7DE6740D" w14:textId="77777777" w:rsidTr="008168B5">
        <w:trPr>
          <w:trHeight w:val="170"/>
        </w:trPr>
        <w:tc>
          <w:tcPr>
            <w:tcW w:w="4247" w:type="dxa"/>
            <w:tcBorders>
              <w:top w:val="nil"/>
              <w:left w:val="nil"/>
              <w:bottom w:val="nil"/>
              <w:right w:val="single" w:sz="12" w:space="0" w:color="808080" w:themeColor="background1" w:themeShade="80"/>
            </w:tcBorders>
          </w:tcPr>
          <w:p w14:paraId="77EB2539" w14:textId="77777777" w:rsidR="0081349D" w:rsidRPr="0081349D" w:rsidRDefault="0081349D" w:rsidP="00C54D22">
            <w:pPr>
              <w:tabs>
                <w:tab w:val="left" w:pos="284"/>
              </w:tabs>
              <w:spacing w:line="360" w:lineRule="auto"/>
              <w:rPr>
                <w:rFonts w:ascii="Calibri" w:hAnsi="Calibri"/>
                <w:sz w:val="18"/>
                <w:szCs w:val="18"/>
              </w:rPr>
            </w:pPr>
            <w:r w:rsidRPr="0081349D">
              <w:rPr>
                <w:rFonts w:ascii="Calibri" w:hAnsi="Calibri" w:cs="Calibri"/>
                <w:sz w:val="18"/>
                <w:szCs w:val="18"/>
              </w:rPr>
              <w:t xml:space="preserve">. </w:t>
            </w:r>
            <w:r w:rsidRPr="0081349D">
              <w:rPr>
                <w:rFonts w:ascii="Calibri" w:hAnsi="Calibri"/>
                <w:sz w:val="18"/>
                <w:szCs w:val="18"/>
              </w:rPr>
              <w:t xml:space="preserve">Missões (M) . . . . . . . . . . . . . . . . . . . . . . . . . . . . . . </w:t>
            </w:r>
            <w:proofErr w:type="gramStart"/>
            <w:r w:rsidRPr="0081349D">
              <w:rPr>
                <w:rFonts w:ascii="Calibri" w:hAnsi="Calibri"/>
                <w:sz w:val="18"/>
                <w:szCs w:val="18"/>
              </w:rPr>
              <w:t>. . . .</w:t>
            </w:r>
            <w:proofErr w:type="gramEnd"/>
            <w:r w:rsidRPr="0081349D">
              <w:rPr>
                <w:rFonts w:ascii="Calibri" w:hAnsi="Calibri"/>
                <w:sz w:val="18"/>
                <w:szCs w:val="18"/>
              </w:rPr>
              <w:t xml:space="preserve"> . </w:t>
            </w:r>
          </w:p>
        </w:tc>
        <w:tc>
          <w:tcPr>
            <w:tcW w:w="4247" w:type="dxa"/>
            <w:tcBorders>
              <w:top w:val="nil"/>
              <w:left w:val="single" w:sz="12" w:space="0" w:color="808080" w:themeColor="background1" w:themeShade="80"/>
              <w:bottom w:val="nil"/>
              <w:right w:val="nil"/>
            </w:tcBorders>
          </w:tcPr>
          <w:p w14:paraId="12FFE44F" w14:textId="77777777" w:rsidR="0081349D" w:rsidRPr="0081349D" w:rsidRDefault="0081349D" w:rsidP="00C54D22">
            <w:pPr>
              <w:tabs>
                <w:tab w:val="left" w:pos="284"/>
              </w:tabs>
              <w:spacing w:line="360" w:lineRule="auto"/>
              <w:rPr>
                <w:rFonts w:ascii="Calibri" w:hAnsi="Calibri"/>
                <w:sz w:val="18"/>
                <w:szCs w:val="18"/>
              </w:rPr>
            </w:pPr>
          </w:p>
        </w:tc>
      </w:tr>
      <w:tr w:rsidR="0081349D" w:rsidRPr="0081349D" w14:paraId="196DC7F8" w14:textId="77777777" w:rsidTr="008168B5">
        <w:trPr>
          <w:trHeight w:val="170"/>
        </w:trPr>
        <w:tc>
          <w:tcPr>
            <w:tcW w:w="4247" w:type="dxa"/>
            <w:tcBorders>
              <w:top w:val="nil"/>
              <w:left w:val="nil"/>
              <w:bottom w:val="nil"/>
              <w:right w:val="single" w:sz="12" w:space="0" w:color="808080" w:themeColor="background1" w:themeShade="80"/>
            </w:tcBorders>
          </w:tcPr>
          <w:p w14:paraId="0CFF1043" w14:textId="15E0C2C2" w:rsidR="00513FBA" w:rsidRPr="002A159F" w:rsidRDefault="0081349D" w:rsidP="00C54D22">
            <w:pPr>
              <w:tabs>
                <w:tab w:val="left" w:pos="284"/>
              </w:tabs>
              <w:spacing w:line="360" w:lineRule="auto"/>
              <w:rPr>
                <w:rFonts w:ascii="Calibri" w:hAnsi="Calibri" w:cs="Calibri"/>
                <w:sz w:val="18"/>
                <w:szCs w:val="18"/>
              </w:rPr>
            </w:pPr>
            <w:r w:rsidRPr="002A159F">
              <w:rPr>
                <w:rFonts w:ascii="Calibri" w:hAnsi="Calibri" w:cs="Calibri"/>
                <w:sz w:val="18"/>
                <w:szCs w:val="18"/>
              </w:rPr>
              <w:t xml:space="preserve">. </w:t>
            </w:r>
            <w:r w:rsidR="002A159F">
              <w:rPr>
                <w:rFonts w:ascii="Calibri" w:hAnsi="Calibri"/>
                <w:sz w:val="18"/>
                <w:szCs w:val="18"/>
              </w:rPr>
              <w:t xml:space="preserve">Aquisição de Bens, </w:t>
            </w:r>
            <w:r w:rsidRPr="002A159F">
              <w:rPr>
                <w:rFonts w:ascii="Calibri" w:hAnsi="Calibri"/>
                <w:sz w:val="18"/>
                <w:szCs w:val="18"/>
              </w:rPr>
              <w:t>Serviços</w:t>
            </w:r>
            <w:r w:rsidR="002A159F">
              <w:rPr>
                <w:rFonts w:ascii="Calibri" w:hAnsi="Calibri"/>
                <w:sz w:val="18"/>
                <w:szCs w:val="18"/>
              </w:rPr>
              <w:t xml:space="preserve"> e Equipamentos (BSE) </w:t>
            </w:r>
            <w:proofErr w:type="gramStart"/>
            <w:r w:rsidR="002A159F">
              <w:rPr>
                <w:rFonts w:ascii="Calibri" w:hAnsi="Calibri"/>
                <w:sz w:val="18"/>
                <w:szCs w:val="18"/>
              </w:rPr>
              <w:t>. . . .</w:t>
            </w:r>
            <w:proofErr w:type="gramEnd"/>
            <w:r w:rsidR="002A159F">
              <w:rPr>
                <w:rFonts w:ascii="Calibri" w:hAnsi="Calibri"/>
                <w:sz w:val="18"/>
                <w:szCs w:val="18"/>
              </w:rPr>
              <w:t xml:space="preserve"> </w:t>
            </w:r>
            <w:r w:rsidRPr="002A159F">
              <w:rPr>
                <w:rFonts w:ascii="Calibri" w:hAnsi="Calibri"/>
                <w:sz w:val="18"/>
                <w:szCs w:val="18"/>
              </w:rPr>
              <w:t>Utilização de Equipamentos (UE) . . . . . . . . . . . . . . . . .</w:t>
            </w:r>
            <w:r w:rsidR="00C819AD" w:rsidRPr="002A159F">
              <w:rPr>
                <w:rFonts w:ascii="Calibri" w:hAnsi="Calibri" w:cs="Calibri"/>
                <w:sz w:val="18"/>
                <w:szCs w:val="18"/>
              </w:rPr>
              <w:t xml:space="preserve"> . </w:t>
            </w:r>
          </w:p>
          <w:p w14:paraId="301F7F6E" w14:textId="77777777" w:rsidR="0081349D" w:rsidRPr="0081349D" w:rsidRDefault="00513FBA" w:rsidP="00C54D22">
            <w:pPr>
              <w:tabs>
                <w:tab w:val="left" w:pos="284"/>
              </w:tabs>
              <w:spacing w:line="360" w:lineRule="auto"/>
              <w:rPr>
                <w:rFonts w:ascii="Calibri" w:hAnsi="Calibri"/>
                <w:sz w:val="18"/>
                <w:szCs w:val="18"/>
              </w:rPr>
            </w:pPr>
            <w:r w:rsidRPr="002A159F">
              <w:rPr>
                <w:rFonts w:ascii="Calibri" w:hAnsi="Calibri" w:cs="Calibri"/>
                <w:sz w:val="18"/>
                <w:szCs w:val="18"/>
              </w:rPr>
              <w:t>. Seguros (S)</w:t>
            </w:r>
            <w:r w:rsidR="0081349D" w:rsidRPr="002A159F">
              <w:rPr>
                <w:rFonts w:ascii="Calibri" w:hAnsi="Calibri"/>
                <w:sz w:val="18"/>
                <w:szCs w:val="18"/>
              </w:rPr>
              <w:t xml:space="preserve"> </w:t>
            </w:r>
            <w:r w:rsidRPr="002A159F">
              <w:rPr>
                <w:rFonts w:ascii="Calibri" w:hAnsi="Calibri"/>
                <w:sz w:val="18"/>
                <w:szCs w:val="18"/>
              </w:rPr>
              <w:t>. . . . . . . . . . . . . . . . . . . . . . . . . . . . . . . . . . . .</w:t>
            </w:r>
          </w:p>
        </w:tc>
        <w:tc>
          <w:tcPr>
            <w:tcW w:w="4247" w:type="dxa"/>
            <w:tcBorders>
              <w:top w:val="nil"/>
              <w:left w:val="single" w:sz="12" w:space="0" w:color="808080" w:themeColor="background1" w:themeShade="80"/>
              <w:bottom w:val="nil"/>
              <w:right w:val="nil"/>
            </w:tcBorders>
          </w:tcPr>
          <w:p w14:paraId="4368756E" w14:textId="77777777" w:rsidR="0081349D" w:rsidRPr="0081349D" w:rsidRDefault="0081349D" w:rsidP="00C54D22">
            <w:pPr>
              <w:tabs>
                <w:tab w:val="left" w:pos="284"/>
              </w:tabs>
              <w:spacing w:line="360" w:lineRule="auto"/>
              <w:rPr>
                <w:rFonts w:ascii="Calibri" w:hAnsi="Calibri"/>
                <w:sz w:val="18"/>
                <w:szCs w:val="18"/>
              </w:rPr>
            </w:pPr>
          </w:p>
        </w:tc>
      </w:tr>
      <w:tr w:rsidR="0081349D" w:rsidRPr="0081349D" w14:paraId="6C2693FF" w14:textId="77777777" w:rsidTr="008168B5">
        <w:trPr>
          <w:trHeight w:val="170"/>
        </w:trPr>
        <w:tc>
          <w:tcPr>
            <w:tcW w:w="4247" w:type="dxa"/>
            <w:tcBorders>
              <w:top w:val="nil"/>
              <w:left w:val="nil"/>
              <w:bottom w:val="nil"/>
              <w:right w:val="single" w:sz="12" w:space="0" w:color="808080" w:themeColor="background1" w:themeShade="80"/>
            </w:tcBorders>
          </w:tcPr>
          <w:p w14:paraId="5E24A67A" w14:textId="543AD08E" w:rsidR="00EF0AFC" w:rsidRPr="00EF0AFC" w:rsidRDefault="0081349D" w:rsidP="002A159F">
            <w:pPr>
              <w:tabs>
                <w:tab w:val="left" w:pos="284"/>
              </w:tabs>
              <w:spacing w:line="360" w:lineRule="auto"/>
              <w:rPr>
                <w:rFonts w:ascii="Calibri" w:hAnsi="Calibri"/>
                <w:sz w:val="18"/>
                <w:szCs w:val="18"/>
              </w:rPr>
            </w:pPr>
            <w:r w:rsidRPr="00EF0AFC">
              <w:rPr>
                <w:rFonts w:ascii="Calibri" w:hAnsi="Calibri" w:cs="Calibri"/>
                <w:sz w:val="18"/>
                <w:szCs w:val="18"/>
              </w:rPr>
              <w:t xml:space="preserve">. </w:t>
            </w:r>
            <w:r w:rsidRPr="00EF0AFC">
              <w:rPr>
                <w:rFonts w:ascii="Calibri" w:hAnsi="Calibri"/>
                <w:sz w:val="18"/>
                <w:szCs w:val="18"/>
              </w:rPr>
              <w:t xml:space="preserve">Gastos Gerais (GG) . . . . . . . . . . . . . . . . . . . . . . . . </w:t>
            </w:r>
            <w:proofErr w:type="gramStart"/>
            <w:r w:rsidRPr="00EF0AFC">
              <w:rPr>
                <w:rFonts w:ascii="Calibri" w:hAnsi="Calibri"/>
                <w:sz w:val="18"/>
                <w:szCs w:val="18"/>
              </w:rPr>
              <w:t>. . . .</w:t>
            </w:r>
            <w:proofErr w:type="gramEnd"/>
            <w:r w:rsidRPr="00EF0AFC">
              <w:rPr>
                <w:rFonts w:ascii="Calibri" w:hAnsi="Calibri"/>
                <w:sz w:val="18"/>
                <w:szCs w:val="18"/>
              </w:rPr>
              <w:t xml:space="preserve"> . </w:t>
            </w:r>
          </w:p>
        </w:tc>
        <w:tc>
          <w:tcPr>
            <w:tcW w:w="4247" w:type="dxa"/>
            <w:tcBorders>
              <w:top w:val="nil"/>
              <w:left w:val="single" w:sz="12" w:space="0" w:color="808080" w:themeColor="background1" w:themeShade="80"/>
              <w:bottom w:val="nil"/>
              <w:right w:val="nil"/>
            </w:tcBorders>
          </w:tcPr>
          <w:p w14:paraId="3F138D75" w14:textId="77777777" w:rsidR="0081349D" w:rsidRPr="0081349D" w:rsidRDefault="0081349D" w:rsidP="00C54D22">
            <w:pPr>
              <w:tabs>
                <w:tab w:val="left" w:pos="284"/>
              </w:tabs>
              <w:spacing w:line="360" w:lineRule="auto"/>
              <w:rPr>
                <w:rFonts w:ascii="Calibri" w:hAnsi="Calibri"/>
                <w:sz w:val="18"/>
                <w:szCs w:val="18"/>
              </w:rPr>
            </w:pPr>
          </w:p>
        </w:tc>
      </w:tr>
      <w:tr w:rsidR="0081349D" w:rsidRPr="0081349D" w14:paraId="029C5074" w14:textId="77777777" w:rsidTr="008168B5">
        <w:trPr>
          <w:trHeight w:val="170"/>
        </w:trPr>
        <w:tc>
          <w:tcPr>
            <w:tcW w:w="4247" w:type="dxa"/>
            <w:tcBorders>
              <w:top w:val="nil"/>
              <w:left w:val="nil"/>
              <w:bottom w:val="nil"/>
              <w:right w:val="single" w:sz="12" w:space="0" w:color="808080" w:themeColor="background1" w:themeShade="80"/>
            </w:tcBorders>
          </w:tcPr>
          <w:p w14:paraId="1F089D51" w14:textId="77777777" w:rsidR="0081349D" w:rsidRPr="0081349D" w:rsidRDefault="0081349D" w:rsidP="00C54D22">
            <w:pPr>
              <w:tabs>
                <w:tab w:val="left" w:pos="284"/>
              </w:tabs>
              <w:spacing w:line="360" w:lineRule="auto"/>
              <w:rPr>
                <w:rFonts w:ascii="Calibri" w:hAnsi="Calibri"/>
                <w:sz w:val="18"/>
                <w:szCs w:val="18"/>
              </w:rPr>
            </w:pPr>
          </w:p>
        </w:tc>
        <w:tc>
          <w:tcPr>
            <w:tcW w:w="4247" w:type="dxa"/>
            <w:tcBorders>
              <w:top w:val="nil"/>
              <w:left w:val="single" w:sz="12" w:space="0" w:color="808080" w:themeColor="background1" w:themeShade="80"/>
              <w:bottom w:val="nil"/>
              <w:right w:val="nil"/>
            </w:tcBorders>
          </w:tcPr>
          <w:p w14:paraId="2887F3AF" w14:textId="77777777" w:rsidR="0081349D" w:rsidRPr="0081349D" w:rsidRDefault="0081349D" w:rsidP="00C54D22">
            <w:pPr>
              <w:tabs>
                <w:tab w:val="left" w:pos="284"/>
              </w:tabs>
              <w:spacing w:line="360" w:lineRule="auto"/>
              <w:rPr>
                <w:rFonts w:ascii="Calibri" w:hAnsi="Calibri" w:cs="Calibri"/>
                <w:sz w:val="18"/>
                <w:szCs w:val="18"/>
              </w:rPr>
            </w:pPr>
          </w:p>
        </w:tc>
      </w:tr>
      <w:tr w:rsidR="0081349D" w:rsidRPr="0081349D" w14:paraId="50963BB4" w14:textId="77777777" w:rsidTr="008168B5">
        <w:trPr>
          <w:trHeight w:val="170"/>
        </w:trPr>
        <w:tc>
          <w:tcPr>
            <w:tcW w:w="4247" w:type="dxa"/>
            <w:tcBorders>
              <w:top w:val="nil"/>
              <w:left w:val="nil"/>
              <w:bottom w:val="nil"/>
              <w:right w:val="single" w:sz="12" w:space="0" w:color="808080" w:themeColor="background1" w:themeShade="80"/>
            </w:tcBorders>
          </w:tcPr>
          <w:p w14:paraId="41C71761" w14:textId="3BCE1BB2" w:rsidR="0081349D" w:rsidRPr="0081349D" w:rsidRDefault="0081349D" w:rsidP="0081487D">
            <w:pPr>
              <w:tabs>
                <w:tab w:val="left" w:pos="284"/>
              </w:tabs>
              <w:spacing w:line="360" w:lineRule="auto"/>
              <w:rPr>
                <w:rFonts w:ascii="Calibri" w:hAnsi="Calibri" w:cs="Calibri"/>
                <w:sz w:val="18"/>
                <w:szCs w:val="18"/>
              </w:rPr>
            </w:pPr>
            <w:proofErr w:type="spellStart"/>
            <w:r w:rsidRPr="0081349D">
              <w:rPr>
                <w:rFonts w:ascii="Calibri" w:hAnsi="Calibri" w:cs="Calibri"/>
                <w:b/>
                <w:bCs/>
                <w:sz w:val="18"/>
                <w:szCs w:val="18"/>
              </w:rPr>
              <w:t>Overheads</w:t>
            </w:r>
            <w:proofErr w:type="spellEnd"/>
            <w:r w:rsidRPr="0081349D">
              <w:rPr>
                <w:rFonts w:ascii="Calibri" w:hAnsi="Calibri" w:cs="Calibri"/>
                <w:b/>
                <w:bCs/>
                <w:sz w:val="18"/>
                <w:szCs w:val="18"/>
              </w:rPr>
              <w:t xml:space="preserve"> IPP</w:t>
            </w:r>
            <w:r w:rsidR="0081487D">
              <w:rPr>
                <w:rFonts w:ascii="Calibri" w:hAnsi="Calibri" w:cs="Calibri"/>
                <w:sz w:val="18"/>
                <w:szCs w:val="18"/>
              </w:rPr>
              <w:t xml:space="preserve"> (40%</w:t>
            </w:r>
            <w:r w:rsidR="002A159F">
              <w:rPr>
                <w:rFonts w:ascii="Calibri" w:hAnsi="Calibri" w:cs="Calibri"/>
                <w:sz w:val="18"/>
                <w:szCs w:val="18"/>
              </w:rPr>
              <w:t xml:space="preserve"> do orçamento global</w:t>
            </w:r>
            <w:r w:rsidRPr="0081349D">
              <w:rPr>
                <w:rFonts w:ascii="Calibri" w:hAnsi="Calibri" w:cs="Calibri"/>
                <w:sz w:val="18"/>
                <w:szCs w:val="18"/>
              </w:rPr>
              <w:t xml:space="preserve">) </w:t>
            </w:r>
            <w:r w:rsidRPr="0081349D">
              <w:rPr>
                <w:rFonts w:ascii="Calibri" w:hAnsi="Calibri"/>
                <w:sz w:val="18"/>
                <w:szCs w:val="18"/>
              </w:rPr>
              <w:t xml:space="preserve">. . . . . . . </w:t>
            </w:r>
            <w:r w:rsidR="00C819AD">
              <w:rPr>
                <w:rFonts w:ascii="Calibri" w:hAnsi="Calibri" w:cs="Calibri"/>
                <w:sz w:val="18"/>
                <w:szCs w:val="18"/>
              </w:rPr>
              <w:t xml:space="preserve">. . . . . . . . . . . . . . . . . </w:t>
            </w:r>
            <w:proofErr w:type="gramStart"/>
            <w:r w:rsidR="00C819AD">
              <w:rPr>
                <w:rFonts w:ascii="Calibri" w:hAnsi="Calibri" w:cs="Calibri"/>
                <w:sz w:val="18"/>
                <w:szCs w:val="18"/>
              </w:rPr>
              <w:t>. .</w:t>
            </w:r>
            <w:r w:rsidR="0081487D">
              <w:rPr>
                <w:rFonts w:ascii="Calibri" w:hAnsi="Calibri" w:cs="Calibri"/>
                <w:sz w:val="18"/>
                <w:szCs w:val="18"/>
              </w:rPr>
              <w:t xml:space="preserve"> . .</w:t>
            </w:r>
            <w:proofErr w:type="gramEnd"/>
            <w:r w:rsidR="0081487D">
              <w:rPr>
                <w:rFonts w:ascii="Calibri" w:hAnsi="Calibri" w:cs="Calibri"/>
                <w:sz w:val="18"/>
                <w:szCs w:val="18"/>
              </w:rPr>
              <w:t xml:space="preserve"> </w:t>
            </w:r>
            <w:r w:rsidR="00C819AD">
              <w:rPr>
                <w:rFonts w:ascii="Calibri" w:hAnsi="Calibri" w:cs="Calibri"/>
                <w:sz w:val="18"/>
                <w:szCs w:val="18"/>
              </w:rPr>
              <w:t xml:space="preserve"> </w:t>
            </w:r>
          </w:p>
        </w:tc>
        <w:tc>
          <w:tcPr>
            <w:tcW w:w="4247" w:type="dxa"/>
            <w:tcBorders>
              <w:top w:val="nil"/>
              <w:left w:val="single" w:sz="12" w:space="0" w:color="808080" w:themeColor="background1" w:themeShade="80"/>
              <w:bottom w:val="nil"/>
              <w:right w:val="nil"/>
            </w:tcBorders>
          </w:tcPr>
          <w:p w14:paraId="0DD8C8A6" w14:textId="77777777" w:rsidR="0081349D" w:rsidRPr="0081349D" w:rsidRDefault="0081349D" w:rsidP="00C54D22">
            <w:pPr>
              <w:tabs>
                <w:tab w:val="left" w:pos="284"/>
              </w:tabs>
              <w:spacing w:line="360" w:lineRule="auto"/>
              <w:rPr>
                <w:rFonts w:ascii="Calibri" w:hAnsi="Calibri" w:cs="Calibri"/>
                <w:sz w:val="22"/>
                <w:szCs w:val="22"/>
              </w:rPr>
            </w:pPr>
          </w:p>
        </w:tc>
      </w:tr>
      <w:tr w:rsidR="0081349D" w:rsidRPr="0081349D" w14:paraId="6A5C564D" w14:textId="77777777" w:rsidTr="008168B5">
        <w:trPr>
          <w:trHeight w:val="170"/>
        </w:trPr>
        <w:tc>
          <w:tcPr>
            <w:tcW w:w="4247" w:type="dxa"/>
            <w:tcBorders>
              <w:top w:val="nil"/>
              <w:left w:val="nil"/>
              <w:bottom w:val="nil"/>
              <w:right w:val="single" w:sz="12" w:space="0" w:color="808080" w:themeColor="background1" w:themeShade="80"/>
            </w:tcBorders>
          </w:tcPr>
          <w:p w14:paraId="2E7D5975" w14:textId="77777777" w:rsidR="0081349D" w:rsidRPr="0081349D" w:rsidRDefault="0081349D" w:rsidP="00C54D22">
            <w:pPr>
              <w:tabs>
                <w:tab w:val="left" w:pos="284"/>
              </w:tabs>
              <w:spacing w:line="360" w:lineRule="auto"/>
              <w:rPr>
                <w:rFonts w:ascii="Calibri" w:hAnsi="Calibri" w:cs="Calibri"/>
                <w:sz w:val="18"/>
                <w:szCs w:val="18"/>
              </w:rPr>
            </w:pPr>
          </w:p>
        </w:tc>
        <w:tc>
          <w:tcPr>
            <w:tcW w:w="4247" w:type="dxa"/>
            <w:tcBorders>
              <w:top w:val="nil"/>
              <w:left w:val="single" w:sz="12" w:space="0" w:color="808080" w:themeColor="background1" w:themeShade="80"/>
              <w:bottom w:val="single" w:sz="12" w:space="0" w:color="808080" w:themeColor="background1" w:themeShade="80"/>
              <w:right w:val="nil"/>
            </w:tcBorders>
          </w:tcPr>
          <w:p w14:paraId="19DDBB04" w14:textId="77777777" w:rsidR="0081349D" w:rsidRPr="0081349D" w:rsidRDefault="0081349D" w:rsidP="00C54D22">
            <w:pPr>
              <w:tabs>
                <w:tab w:val="left" w:pos="284"/>
              </w:tabs>
              <w:spacing w:line="360" w:lineRule="auto"/>
              <w:rPr>
                <w:rFonts w:ascii="Calibri" w:hAnsi="Calibri" w:cs="Calibri"/>
                <w:sz w:val="22"/>
                <w:szCs w:val="22"/>
              </w:rPr>
            </w:pPr>
          </w:p>
        </w:tc>
      </w:tr>
      <w:tr w:rsidR="0081349D" w:rsidRPr="0081349D" w14:paraId="73A8FFD5" w14:textId="77777777" w:rsidTr="008168B5">
        <w:trPr>
          <w:trHeight w:val="491"/>
        </w:trPr>
        <w:tc>
          <w:tcPr>
            <w:tcW w:w="4247" w:type="dxa"/>
            <w:tcBorders>
              <w:top w:val="nil"/>
              <w:left w:val="nil"/>
              <w:bottom w:val="single" w:sz="2" w:space="0" w:color="auto"/>
              <w:right w:val="single" w:sz="12" w:space="0" w:color="808080" w:themeColor="background1" w:themeShade="80"/>
            </w:tcBorders>
          </w:tcPr>
          <w:p w14:paraId="7367BD9B" w14:textId="77777777" w:rsidR="0081349D" w:rsidRPr="0081349D" w:rsidRDefault="0081349D" w:rsidP="00C54D22">
            <w:pPr>
              <w:tabs>
                <w:tab w:val="left" w:pos="284"/>
              </w:tabs>
              <w:spacing w:line="360" w:lineRule="auto"/>
              <w:jc w:val="right"/>
              <w:rPr>
                <w:rFonts w:ascii="Calibri" w:hAnsi="Calibri" w:cs="Calibri"/>
                <w:i/>
                <w:sz w:val="18"/>
                <w:szCs w:val="18"/>
              </w:rPr>
            </w:pPr>
          </w:p>
          <w:p w14:paraId="6DE1EA41" w14:textId="77777777" w:rsidR="0081349D" w:rsidRPr="0081349D" w:rsidRDefault="0081349D" w:rsidP="00C54D22">
            <w:pPr>
              <w:tabs>
                <w:tab w:val="left" w:pos="284"/>
              </w:tabs>
              <w:spacing w:line="360" w:lineRule="auto"/>
              <w:jc w:val="center"/>
              <w:rPr>
                <w:rFonts w:ascii="Calibri" w:hAnsi="Calibri" w:cs="Calibri"/>
                <w:i/>
                <w:sz w:val="18"/>
                <w:szCs w:val="18"/>
              </w:rPr>
            </w:pPr>
            <w:r w:rsidRPr="0081349D">
              <w:rPr>
                <w:rFonts w:ascii="Calibri" w:hAnsi="Calibri" w:cs="Calibri"/>
                <w:i/>
                <w:sz w:val="18"/>
                <w:szCs w:val="18"/>
              </w:rPr>
              <w:t>Total do Orçamento . . . . . .</w:t>
            </w:r>
          </w:p>
        </w:tc>
        <w:tc>
          <w:tcPr>
            <w:tcW w:w="4247" w:type="dxa"/>
            <w:tcBorders>
              <w:top w:val="single" w:sz="12" w:space="0" w:color="808080" w:themeColor="background1" w:themeShade="80"/>
              <w:left w:val="single" w:sz="12" w:space="0" w:color="808080" w:themeColor="background1" w:themeShade="80"/>
              <w:bottom w:val="single" w:sz="2" w:space="0" w:color="auto"/>
              <w:right w:val="nil"/>
            </w:tcBorders>
          </w:tcPr>
          <w:p w14:paraId="0EE49EB3" w14:textId="77777777" w:rsidR="0081349D" w:rsidRPr="0081349D" w:rsidRDefault="0081349D" w:rsidP="00C54D22">
            <w:pPr>
              <w:tabs>
                <w:tab w:val="left" w:pos="284"/>
              </w:tabs>
              <w:spacing w:line="360" w:lineRule="auto"/>
              <w:rPr>
                <w:rFonts w:ascii="Calibri" w:hAnsi="Calibri" w:cs="Calibri"/>
                <w:sz w:val="22"/>
                <w:szCs w:val="22"/>
              </w:rPr>
            </w:pPr>
          </w:p>
        </w:tc>
      </w:tr>
    </w:tbl>
    <w:p w14:paraId="356B812C" w14:textId="77777777" w:rsidR="0081349D" w:rsidRPr="0081349D" w:rsidRDefault="0081349D" w:rsidP="00C54D22">
      <w:pPr>
        <w:tabs>
          <w:tab w:val="left" w:pos="284"/>
        </w:tabs>
        <w:spacing w:line="360" w:lineRule="auto"/>
        <w:jc w:val="both"/>
        <w:rPr>
          <w:rFonts w:ascii="Calibri" w:hAnsi="Calibri" w:cs="Calibri"/>
          <w:sz w:val="22"/>
          <w:szCs w:val="22"/>
        </w:rPr>
      </w:pPr>
    </w:p>
    <w:p w14:paraId="784732F2" w14:textId="77777777" w:rsidR="0081349D" w:rsidRPr="008B037B" w:rsidRDefault="0081349D" w:rsidP="00C54D22">
      <w:pPr>
        <w:tabs>
          <w:tab w:val="left" w:pos="284"/>
        </w:tabs>
        <w:spacing w:line="360" w:lineRule="auto"/>
        <w:jc w:val="both"/>
        <w:rPr>
          <w:rFonts w:ascii="Calibri" w:hAnsi="Calibri" w:cs="Calibri"/>
          <w:sz w:val="18"/>
          <w:szCs w:val="18"/>
        </w:rPr>
      </w:pPr>
      <w:r w:rsidRPr="008B037B">
        <w:rPr>
          <w:rFonts w:ascii="Calibri" w:hAnsi="Calibri" w:cs="Calibri"/>
          <w:b/>
          <w:bCs/>
          <w:sz w:val="18"/>
          <w:szCs w:val="18"/>
        </w:rPr>
        <w:t>Recursos humanos</w:t>
      </w:r>
      <w:r w:rsidRPr="008B037B">
        <w:rPr>
          <w:rFonts w:ascii="Calibri" w:hAnsi="Calibri" w:cs="Calibri"/>
          <w:sz w:val="18"/>
          <w:szCs w:val="18"/>
        </w:rPr>
        <w:t xml:space="preserve"> (RH): Recursos humanos dedicados a atividades </w:t>
      </w:r>
      <w:r w:rsidR="00180894" w:rsidRPr="008B037B">
        <w:rPr>
          <w:rFonts w:ascii="Calibri" w:hAnsi="Calibri" w:cs="Calibri"/>
          <w:sz w:val="18"/>
          <w:szCs w:val="18"/>
        </w:rPr>
        <w:t>da prestação de serviço</w:t>
      </w:r>
      <w:r w:rsidRPr="008B037B">
        <w:rPr>
          <w:rFonts w:ascii="Calibri" w:hAnsi="Calibri" w:cs="Calibri"/>
          <w:sz w:val="18"/>
          <w:szCs w:val="18"/>
        </w:rPr>
        <w:t>, incluindo encargos com bolseiros e contratos.</w:t>
      </w:r>
    </w:p>
    <w:p w14:paraId="5E7A766F" w14:textId="77777777" w:rsidR="0081349D" w:rsidRPr="008B037B" w:rsidRDefault="0081349D" w:rsidP="00C54D22">
      <w:pPr>
        <w:tabs>
          <w:tab w:val="left" w:pos="284"/>
        </w:tabs>
        <w:spacing w:line="360" w:lineRule="auto"/>
        <w:jc w:val="both"/>
        <w:rPr>
          <w:rFonts w:ascii="Calibri" w:hAnsi="Calibri" w:cs="Calibri"/>
          <w:sz w:val="18"/>
          <w:szCs w:val="18"/>
        </w:rPr>
      </w:pPr>
      <w:r w:rsidRPr="008B037B">
        <w:rPr>
          <w:rFonts w:ascii="Calibri" w:hAnsi="Calibri" w:cs="Calibri"/>
          <w:b/>
          <w:bCs/>
          <w:sz w:val="18"/>
          <w:szCs w:val="18"/>
        </w:rPr>
        <w:t>Missões</w:t>
      </w:r>
      <w:r w:rsidRPr="008B037B">
        <w:rPr>
          <w:rFonts w:ascii="Calibri" w:hAnsi="Calibri" w:cs="Calibri"/>
          <w:sz w:val="18"/>
          <w:szCs w:val="18"/>
        </w:rPr>
        <w:t xml:space="preserve"> (M): Despesas resultantes de deslocações para trabalho de campo, encontros e visitas no âmbito </w:t>
      </w:r>
      <w:r w:rsidR="00180894" w:rsidRPr="008B037B">
        <w:rPr>
          <w:rFonts w:ascii="Calibri" w:hAnsi="Calibri" w:cs="Calibri"/>
          <w:sz w:val="18"/>
          <w:szCs w:val="18"/>
        </w:rPr>
        <w:t>da prestação de serviço</w:t>
      </w:r>
      <w:r w:rsidRPr="008B037B">
        <w:rPr>
          <w:rFonts w:ascii="Calibri" w:hAnsi="Calibri" w:cs="Calibri"/>
          <w:sz w:val="18"/>
          <w:szCs w:val="18"/>
        </w:rPr>
        <w:t>, no País e no Estrangeiro (despesas de viagens, ajudas de custo, estadias).</w:t>
      </w:r>
    </w:p>
    <w:p w14:paraId="1B1E585E" w14:textId="3FC764F6" w:rsidR="0081349D" w:rsidRPr="0081349D" w:rsidRDefault="008B037B" w:rsidP="00C54D22">
      <w:pPr>
        <w:tabs>
          <w:tab w:val="left" w:pos="284"/>
        </w:tabs>
        <w:spacing w:line="360" w:lineRule="auto"/>
        <w:jc w:val="both"/>
        <w:rPr>
          <w:rFonts w:ascii="Calibri" w:hAnsi="Calibri" w:cs="Calibri"/>
          <w:sz w:val="18"/>
          <w:szCs w:val="18"/>
        </w:rPr>
      </w:pPr>
      <w:r>
        <w:rPr>
          <w:rFonts w:ascii="Calibri" w:hAnsi="Calibri" w:cs="Calibri"/>
          <w:b/>
          <w:bCs/>
          <w:sz w:val="18"/>
          <w:szCs w:val="18"/>
        </w:rPr>
        <w:t>Aquisição de bens,</w:t>
      </w:r>
      <w:r w:rsidR="0081349D" w:rsidRPr="008B037B">
        <w:rPr>
          <w:rFonts w:ascii="Calibri" w:hAnsi="Calibri" w:cs="Calibri"/>
          <w:b/>
          <w:bCs/>
          <w:sz w:val="18"/>
          <w:szCs w:val="18"/>
        </w:rPr>
        <w:t xml:space="preserve"> serviços</w:t>
      </w:r>
      <w:r>
        <w:rPr>
          <w:rFonts w:ascii="Calibri" w:hAnsi="Calibri" w:cs="Calibri"/>
          <w:b/>
          <w:bCs/>
          <w:sz w:val="18"/>
          <w:szCs w:val="18"/>
        </w:rPr>
        <w:t xml:space="preserve"> e equipamentos</w:t>
      </w:r>
      <w:r w:rsidR="0081349D" w:rsidRPr="008B037B">
        <w:rPr>
          <w:rFonts w:ascii="Calibri" w:hAnsi="Calibri" w:cs="Calibri"/>
          <w:sz w:val="18"/>
          <w:szCs w:val="18"/>
        </w:rPr>
        <w:t xml:space="preserve"> (BS</w:t>
      </w:r>
      <w:r>
        <w:rPr>
          <w:rFonts w:ascii="Calibri" w:hAnsi="Calibri" w:cs="Calibri"/>
          <w:sz w:val="18"/>
          <w:szCs w:val="18"/>
        </w:rPr>
        <w:t>E</w:t>
      </w:r>
      <w:r w:rsidR="0081349D" w:rsidRPr="008B037B">
        <w:rPr>
          <w:rFonts w:ascii="Calibri" w:hAnsi="Calibri" w:cs="Calibri"/>
          <w:sz w:val="18"/>
          <w:szCs w:val="18"/>
        </w:rPr>
        <w:t>): Despesas relacion</w:t>
      </w:r>
      <w:r w:rsidRPr="008B037B">
        <w:rPr>
          <w:rFonts w:ascii="Calibri" w:hAnsi="Calibri" w:cs="Calibri"/>
          <w:sz w:val="18"/>
          <w:szCs w:val="18"/>
        </w:rPr>
        <w:t xml:space="preserve">adas com a aquisição de bens, </w:t>
      </w:r>
      <w:r w:rsidR="0081349D" w:rsidRPr="008B037B">
        <w:rPr>
          <w:rFonts w:ascii="Calibri" w:hAnsi="Calibri" w:cs="Calibri"/>
          <w:sz w:val="18"/>
          <w:szCs w:val="18"/>
        </w:rPr>
        <w:t>serviços</w:t>
      </w:r>
      <w:r w:rsidRPr="008B037B">
        <w:rPr>
          <w:rFonts w:ascii="Calibri" w:hAnsi="Calibri" w:cs="Calibri"/>
          <w:sz w:val="18"/>
          <w:szCs w:val="18"/>
        </w:rPr>
        <w:t xml:space="preserve"> ou equipamentos</w:t>
      </w:r>
      <w:r w:rsidR="0081349D" w:rsidRPr="008B037B">
        <w:rPr>
          <w:rFonts w:ascii="Calibri" w:hAnsi="Calibri" w:cs="Calibri"/>
          <w:sz w:val="18"/>
          <w:szCs w:val="18"/>
        </w:rPr>
        <w:t xml:space="preserve"> no âmbito </w:t>
      </w:r>
      <w:r w:rsidR="00180894" w:rsidRPr="008B037B">
        <w:rPr>
          <w:rFonts w:ascii="Calibri" w:hAnsi="Calibri" w:cs="Calibri"/>
          <w:sz w:val="18"/>
          <w:szCs w:val="18"/>
        </w:rPr>
        <w:t xml:space="preserve">da prestação de serviço </w:t>
      </w:r>
      <w:r w:rsidR="0081349D" w:rsidRPr="008B037B">
        <w:rPr>
          <w:rFonts w:ascii="Calibri" w:hAnsi="Calibri" w:cs="Calibri"/>
          <w:sz w:val="18"/>
          <w:szCs w:val="18"/>
        </w:rPr>
        <w:t>e que podem ser comprovadas através de Fatura/Recibo.</w:t>
      </w:r>
    </w:p>
    <w:p w14:paraId="7630D208" w14:textId="77777777" w:rsidR="0081349D" w:rsidRPr="0081349D" w:rsidRDefault="0081349D" w:rsidP="00C54D22">
      <w:pPr>
        <w:tabs>
          <w:tab w:val="left" w:pos="284"/>
        </w:tabs>
        <w:spacing w:line="360" w:lineRule="auto"/>
        <w:jc w:val="both"/>
        <w:rPr>
          <w:rFonts w:ascii="Calibri" w:hAnsi="Calibri" w:cs="Calibri"/>
          <w:sz w:val="18"/>
          <w:szCs w:val="18"/>
        </w:rPr>
      </w:pPr>
      <w:r w:rsidRPr="0081349D">
        <w:rPr>
          <w:rFonts w:ascii="Calibri" w:hAnsi="Calibri" w:cs="Calibri"/>
          <w:b/>
          <w:bCs/>
          <w:sz w:val="18"/>
          <w:szCs w:val="18"/>
        </w:rPr>
        <w:lastRenderedPageBreak/>
        <w:t>Utilização de Equipamentos</w:t>
      </w:r>
      <w:r w:rsidRPr="0081349D">
        <w:rPr>
          <w:rFonts w:ascii="Calibri" w:hAnsi="Calibri" w:cs="Calibri"/>
          <w:sz w:val="18"/>
          <w:szCs w:val="18"/>
        </w:rPr>
        <w:t xml:space="preserve"> (UE): Valor/hora de utilização de equipamentos de acordo com a tabela aprovado pelo IPP.</w:t>
      </w:r>
    </w:p>
    <w:p w14:paraId="49F66C79" w14:textId="71EBD9B3" w:rsidR="00513FBA" w:rsidRDefault="00513FBA" w:rsidP="00C54D22">
      <w:pPr>
        <w:tabs>
          <w:tab w:val="left" w:pos="284"/>
        </w:tabs>
        <w:spacing w:line="360" w:lineRule="auto"/>
        <w:jc w:val="both"/>
        <w:rPr>
          <w:rFonts w:ascii="Calibri" w:hAnsi="Calibri" w:cs="Calibri"/>
          <w:b/>
          <w:bCs/>
          <w:sz w:val="18"/>
          <w:szCs w:val="18"/>
        </w:rPr>
      </w:pPr>
      <w:r w:rsidRPr="004352CC">
        <w:rPr>
          <w:rFonts w:ascii="Calibri" w:hAnsi="Calibri" w:cs="Calibri"/>
          <w:b/>
          <w:bCs/>
          <w:sz w:val="18"/>
          <w:szCs w:val="18"/>
        </w:rPr>
        <w:t xml:space="preserve">Seguros </w:t>
      </w:r>
      <w:r w:rsidRPr="004352CC">
        <w:rPr>
          <w:rFonts w:ascii="Calibri" w:hAnsi="Calibri" w:cs="Calibri"/>
          <w:bCs/>
          <w:sz w:val="18"/>
          <w:szCs w:val="18"/>
        </w:rPr>
        <w:t xml:space="preserve">(S): </w:t>
      </w:r>
      <w:r w:rsidR="004352CC" w:rsidRPr="004352CC">
        <w:rPr>
          <w:rFonts w:ascii="Calibri" w:hAnsi="Calibri" w:cs="Calibri"/>
          <w:bCs/>
          <w:sz w:val="18"/>
          <w:szCs w:val="18"/>
        </w:rPr>
        <w:t>Despesas com a contratação de seguro adequado em função dos riscos envolvidos na realização da prestação de serviços</w:t>
      </w:r>
      <w:r w:rsidR="004352CC">
        <w:rPr>
          <w:rFonts w:ascii="Calibri" w:hAnsi="Calibri" w:cs="Calibri"/>
          <w:bCs/>
          <w:sz w:val="18"/>
          <w:szCs w:val="18"/>
        </w:rPr>
        <w:t>.</w:t>
      </w:r>
    </w:p>
    <w:p w14:paraId="25918001" w14:textId="2FDB9972" w:rsidR="001E33E5" w:rsidRPr="008B037B" w:rsidRDefault="0081349D" w:rsidP="008B037B">
      <w:pPr>
        <w:tabs>
          <w:tab w:val="left" w:pos="284"/>
        </w:tabs>
        <w:spacing w:line="360" w:lineRule="auto"/>
        <w:jc w:val="both"/>
        <w:rPr>
          <w:rFonts w:ascii="Calibri" w:hAnsi="Calibri" w:cs="Calibri"/>
          <w:sz w:val="18"/>
          <w:szCs w:val="18"/>
        </w:rPr>
      </w:pPr>
      <w:r w:rsidRPr="0081349D">
        <w:rPr>
          <w:rFonts w:ascii="Calibri" w:hAnsi="Calibri" w:cs="Calibri"/>
          <w:b/>
          <w:bCs/>
          <w:sz w:val="18"/>
          <w:szCs w:val="18"/>
        </w:rPr>
        <w:t>Gastos Gerais</w:t>
      </w:r>
      <w:r w:rsidRPr="0081349D">
        <w:rPr>
          <w:rFonts w:ascii="Calibri" w:hAnsi="Calibri" w:cs="Calibri"/>
          <w:sz w:val="18"/>
          <w:szCs w:val="18"/>
        </w:rPr>
        <w:t xml:space="preserve"> (GG)</w:t>
      </w:r>
      <w:proofErr w:type="gramStart"/>
      <w:r w:rsidRPr="0081349D">
        <w:rPr>
          <w:rFonts w:ascii="Calibri" w:hAnsi="Calibri" w:cs="Calibri"/>
          <w:sz w:val="18"/>
          <w:szCs w:val="18"/>
        </w:rPr>
        <w:t>: As</w:t>
      </w:r>
      <w:proofErr w:type="gramEnd"/>
      <w:r w:rsidRPr="0081349D">
        <w:rPr>
          <w:rFonts w:ascii="Calibri" w:hAnsi="Calibri" w:cs="Calibri"/>
          <w:sz w:val="18"/>
          <w:szCs w:val="18"/>
        </w:rPr>
        <w:t xml:space="preserve"> despesas de gastos gerais são baseadas nos custos reais incorridos com a execução da prestação de serviço e a esta imputados, segundo um método de cálculo justo e equitativo, até ao limite de 20 % das despesas diretas (nomeadamente, água, luz, gás, combustíveis).</w:t>
      </w:r>
    </w:p>
    <w:sectPr w:rsidR="001E33E5" w:rsidRPr="008B037B" w:rsidSect="00DC76A9">
      <w:headerReference w:type="even" r:id="rId8"/>
      <w:headerReference w:type="default" r:id="rId9"/>
      <w:footerReference w:type="default" r:id="rId10"/>
      <w:headerReference w:type="first" r:id="rId11"/>
      <w:pgSz w:w="11906" w:h="16838"/>
      <w:pgMar w:top="2377" w:right="1133" w:bottom="1985"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7C1A7" w14:textId="77777777" w:rsidR="00971745" w:rsidRDefault="00971745">
      <w:r>
        <w:separator/>
      </w:r>
    </w:p>
  </w:endnote>
  <w:endnote w:type="continuationSeparator" w:id="0">
    <w:p w14:paraId="06C231C4" w14:textId="77777777" w:rsidR="00971745" w:rsidRDefault="0097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6945" w14:textId="77777777" w:rsidR="00F361A0" w:rsidRPr="00F361A0" w:rsidRDefault="00B916BD">
    <w:pPr>
      <w:pStyle w:val="Rodap"/>
      <w:rPr>
        <w:rFonts w:ascii="Arial" w:hAnsi="Arial" w:cs="Arial"/>
        <w:sz w:val="12"/>
        <w:szCs w:val="12"/>
      </w:rPr>
    </w:pPr>
    <w:r>
      <w:rPr>
        <w:rFonts w:ascii="Arial" w:hAnsi="Arial" w:cs="Arial"/>
        <w:sz w:val="12"/>
        <w:szCs w:val="12"/>
      </w:rPr>
      <w:t xml:space="preserve">        </w:t>
    </w:r>
    <w:r w:rsidRPr="00F361A0">
      <w:rPr>
        <w:rFonts w:ascii="Arial" w:hAnsi="Arial" w:cs="Arial"/>
        <w:sz w:val="12"/>
        <w:szCs w:val="12"/>
      </w:rPr>
      <w:t>SC.GER.4-Rev.</w:t>
    </w:r>
    <w:r>
      <w:rPr>
        <w:rFonts w:ascii="Arial" w:hAnsi="Arial" w:cs="Arial"/>
        <w:sz w:val="12"/>
        <w:szCs w:val="12"/>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21C9C" w14:textId="77777777" w:rsidR="00971745" w:rsidRDefault="00971745">
      <w:r>
        <w:separator/>
      </w:r>
    </w:p>
  </w:footnote>
  <w:footnote w:type="continuationSeparator" w:id="0">
    <w:p w14:paraId="0679BB6E" w14:textId="77777777" w:rsidR="00971745" w:rsidRDefault="009717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F855" w14:textId="77777777" w:rsidR="00D54842" w:rsidRDefault="00971745">
    <w:pPr>
      <w:pStyle w:val="Cabealho"/>
    </w:pPr>
    <w:r>
      <w:rPr>
        <w:noProof/>
      </w:rPr>
      <w:pict w14:anchorId="3B16C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6.15pt;height:843.35pt;z-index:-251656192;mso-position-horizontal:center;mso-position-horizontal-relative:margin;mso-position-vertical:center;mso-position-vertical-relative:margin" o:allowincell="f">
          <v:imagedata r:id="rId1" o:title="folha_timbrada_esa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E2DB7" w14:textId="77777777" w:rsidR="00D54842" w:rsidRDefault="0081349D">
    <w:pPr>
      <w:pStyle w:val="Cabealho"/>
    </w:pPr>
    <w:r>
      <w:rPr>
        <w:noProof/>
      </w:rPr>
      <w:drawing>
        <wp:anchor distT="0" distB="0" distL="114300" distR="114300" simplePos="0" relativeHeight="251661312" behindDoc="1" locked="0" layoutInCell="1" allowOverlap="1" wp14:anchorId="736EF7BB" wp14:editId="0322C7A9">
          <wp:simplePos x="0" y="0"/>
          <wp:positionH relativeFrom="column">
            <wp:posOffset>-1099185</wp:posOffset>
          </wp:positionH>
          <wp:positionV relativeFrom="paragraph">
            <wp:posOffset>-447675</wp:posOffset>
          </wp:positionV>
          <wp:extent cx="7577455" cy="10713720"/>
          <wp:effectExtent l="0" t="0" r="4445" b="0"/>
          <wp:wrapNone/>
          <wp:docPr id="2" name="Imagem 2" descr="papel-timbrado-IPP-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l-timbrado-IPP-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455" cy="10713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EB516" w14:textId="77777777" w:rsidR="00D54842" w:rsidRDefault="00971745">
    <w:pPr>
      <w:pStyle w:val="Cabealho"/>
    </w:pPr>
    <w:r>
      <w:rPr>
        <w:noProof/>
      </w:rPr>
      <w:pict w14:anchorId="68524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6.15pt;height:843.35pt;z-index:-251657216;mso-position-horizontal:center;mso-position-horizontal-relative:margin;mso-position-vertical:center;mso-position-vertical-relative:margin" o:allowincell="f">
          <v:imagedata r:id="rId1" o:title="folha_timbrada_esa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343"/>
    <w:multiLevelType w:val="hybridMultilevel"/>
    <w:tmpl w:val="082840D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3B13A7F"/>
    <w:multiLevelType w:val="hybridMultilevel"/>
    <w:tmpl w:val="48A0761A"/>
    <w:lvl w:ilvl="0" w:tplc="0816000F">
      <w:start w:val="1"/>
      <w:numFmt w:val="decimal"/>
      <w:lvlText w:val="%1."/>
      <w:lvlJc w:val="left"/>
      <w:pPr>
        <w:ind w:left="720" w:hanging="360"/>
      </w:pPr>
      <w:rPr>
        <w:rFonts w:cs="Times New Roman" w:hint="default"/>
      </w:rPr>
    </w:lvl>
    <w:lvl w:ilvl="1" w:tplc="19622D9C">
      <w:start w:val="1"/>
      <w:numFmt w:val="lowerLetter"/>
      <w:lvlText w:val="%2)"/>
      <w:lvlJc w:val="left"/>
      <w:pPr>
        <w:ind w:left="1440" w:hanging="360"/>
      </w:pPr>
      <w:rPr>
        <w:rFonts w:hint="default"/>
        <w:i/>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 w15:restartNumberingAfterBreak="0">
    <w:nsid w:val="05524894"/>
    <w:multiLevelType w:val="hybridMultilevel"/>
    <w:tmpl w:val="2F3C7832"/>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9BD547D"/>
    <w:multiLevelType w:val="hybridMultilevel"/>
    <w:tmpl w:val="345C1ECC"/>
    <w:lvl w:ilvl="0" w:tplc="917E0D3C">
      <w:start w:val="1"/>
      <w:numFmt w:val="decimal"/>
      <w:lvlText w:val="%1."/>
      <w:lvlJc w:val="left"/>
      <w:pPr>
        <w:ind w:left="76" w:hanging="360"/>
      </w:pPr>
      <w:rPr>
        <w:rFonts w:ascii="Calibri" w:hAnsi="Calibri" w:cs="Times New Roman" w:hint="default"/>
        <w:b w:val="0"/>
      </w:rPr>
    </w:lvl>
    <w:lvl w:ilvl="1" w:tplc="08160019" w:tentative="1">
      <w:start w:val="1"/>
      <w:numFmt w:val="lowerLetter"/>
      <w:lvlText w:val="%2."/>
      <w:lvlJc w:val="left"/>
      <w:pPr>
        <w:ind w:left="796" w:hanging="360"/>
      </w:pPr>
      <w:rPr>
        <w:rFonts w:cs="Times New Roman"/>
      </w:rPr>
    </w:lvl>
    <w:lvl w:ilvl="2" w:tplc="0816001B" w:tentative="1">
      <w:start w:val="1"/>
      <w:numFmt w:val="lowerRoman"/>
      <w:lvlText w:val="%3."/>
      <w:lvlJc w:val="right"/>
      <w:pPr>
        <w:ind w:left="1516" w:hanging="180"/>
      </w:pPr>
      <w:rPr>
        <w:rFonts w:cs="Times New Roman"/>
      </w:rPr>
    </w:lvl>
    <w:lvl w:ilvl="3" w:tplc="0816000F" w:tentative="1">
      <w:start w:val="1"/>
      <w:numFmt w:val="decimal"/>
      <w:lvlText w:val="%4."/>
      <w:lvlJc w:val="left"/>
      <w:pPr>
        <w:ind w:left="2236" w:hanging="360"/>
      </w:pPr>
      <w:rPr>
        <w:rFonts w:cs="Times New Roman"/>
      </w:rPr>
    </w:lvl>
    <w:lvl w:ilvl="4" w:tplc="08160019" w:tentative="1">
      <w:start w:val="1"/>
      <w:numFmt w:val="lowerLetter"/>
      <w:lvlText w:val="%5."/>
      <w:lvlJc w:val="left"/>
      <w:pPr>
        <w:ind w:left="2956" w:hanging="360"/>
      </w:pPr>
      <w:rPr>
        <w:rFonts w:cs="Times New Roman"/>
      </w:rPr>
    </w:lvl>
    <w:lvl w:ilvl="5" w:tplc="0816001B" w:tentative="1">
      <w:start w:val="1"/>
      <w:numFmt w:val="lowerRoman"/>
      <w:lvlText w:val="%6."/>
      <w:lvlJc w:val="right"/>
      <w:pPr>
        <w:ind w:left="3676" w:hanging="180"/>
      </w:pPr>
      <w:rPr>
        <w:rFonts w:cs="Times New Roman"/>
      </w:rPr>
    </w:lvl>
    <w:lvl w:ilvl="6" w:tplc="0816000F" w:tentative="1">
      <w:start w:val="1"/>
      <w:numFmt w:val="decimal"/>
      <w:lvlText w:val="%7."/>
      <w:lvlJc w:val="left"/>
      <w:pPr>
        <w:ind w:left="4396" w:hanging="360"/>
      </w:pPr>
      <w:rPr>
        <w:rFonts w:cs="Times New Roman"/>
      </w:rPr>
    </w:lvl>
    <w:lvl w:ilvl="7" w:tplc="08160019" w:tentative="1">
      <w:start w:val="1"/>
      <w:numFmt w:val="lowerLetter"/>
      <w:lvlText w:val="%8."/>
      <w:lvlJc w:val="left"/>
      <w:pPr>
        <w:ind w:left="5116" w:hanging="360"/>
      </w:pPr>
      <w:rPr>
        <w:rFonts w:cs="Times New Roman"/>
      </w:rPr>
    </w:lvl>
    <w:lvl w:ilvl="8" w:tplc="0816001B" w:tentative="1">
      <w:start w:val="1"/>
      <w:numFmt w:val="lowerRoman"/>
      <w:lvlText w:val="%9."/>
      <w:lvlJc w:val="right"/>
      <w:pPr>
        <w:ind w:left="5836" w:hanging="180"/>
      </w:pPr>
      <w:rPr>
        <w:rFonts w:cs="Times New Roman"/>
      </w:rPr>
    </w:lvl>
  </w:abstractNum>
  <w:abstractNum w:abstractNumId="4" w15:restartNumberingAfterBreak="0">
    <w:nsid w:val="09CF08FF"/>
    <w:multiLevelType w:val="hybridMultilevel"/>
    <w:tmpl w:val="B410442E"/>
    <w:lvl w:ilvl="0" w:tplc="238E74B2">
      <w:start w:val="1"/>
      <w:numFmt w:val="lowerLetter"/>
      <w:lvlText w:val="%1)"/>
      <w:lvlJc w:val="left"/>
      <w:pPr>
        <w:ind w:left="786" w:hanging="360"/>
      </w:pPr>
      <w:rPr>
        <w:rFonts w:ascii="Calibri" w:eastAsia="Times New Roman" w:hAnsi="Calibri" w:cs="Calibri"/>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5" w15:restartNumberingAfterBreak="0">
    <w:nsid w:val="0FF31D88"/>
    <w:multiLevelType w:val="hybridMultilevel"/>
    <w:tmpl w:val="677801D4"/>
    <w:lvl w:ilvl="0" w:tplc="C38EA556">
      <w:start w:val="1"/>
      <w:numFmt w:val="decimal"/>
      <w:lvlText w:val="%1."/>
      <w:lvlJc w:val="left"/>
      <w:pPr>
        <w:ind w:left="76" w:hanging="360"/>
      </w:pPr>
      <w:rPr>
        <w:rFonts w:cs="Times New Roman" w:hint="default"/>
      </w:rPr>
    </w:lvl>
    <w:lvl w:ilvl="1" w:tplc="08160019" w:tentative="1">
      <w:start w:val="1"/>
      <w:numFmt w:val="lowerLetter"/>
      <w:lvlText w:val="%2."/>
      <w:lvlJc w:val="left"/>
      <w:pPr>
        <w:ind w:left="796" w:hanging="360"/>
      </w:pPr>
      <w:rPr>
        <w:rFonts w:cs="Times New Roman"/>
      </w:rPr>
    </w:lvl>
    <w:lvl w:ilvl="2" w:tplc="0816001B" w:tentative="1">
      <w:start w:val="1"/>
      <w:numFmt w:val="lowerRoman"/>
      <w:lvlText w:val="%3."/>
      <w:lvlJc w:val="right"/>
      <w:pPr>
        <w:ind w:left="1516" w:hanging="180"/>
      </w:pPr>
      <w:rPr>
        <w:rFonts w:cs="Times New Roman"/>
      </w:rPr>
    </w:lvl>
    <w:lvl w:ilvl="3" w:tplc="0816000F" w:tentative="1">
      <w:start w:val="1"/>
      <w:numFmt w:val="decimal"/>
      <w:lvlText w:val="%4."/>
      <w:lvlJc w:val="left"/>
      <w:pPr>
        <w:ind w:left="2236" w:hanging="360"/>
      </w:pPr>
      <w:rPr>
        <w:rFonts w:cs="Times New Roman"/>
      </w:rPr>
    </w:lvl>
    <w:lvl w:ilvl="4" w:tplc="08160019" w:tentative="1">
      <w:start w:val="1"/>
      <w:numFmt w:val="lowerLetter"/>
      <w:lvlText w:val="%5."/>
      <w:lvlJc w:val="left"/>
      <w:pPr>
        <w:ind w:left="2956" w:hanging="360"/>
      </w:pPr>
      <w:rPr>
        <w:rFonts w:cs="Times New Roman"/>
      </w:rPr>
    </w:lvl>
    <w:lvl w:ilvl="5" w:tplc="0816001B" w:tentative="1">
      <w:start w:val="1"/>
      <w:numFmt w:val="lowerRoman"/>
      <w:lvlText w:val="%6."/>
      <w:lvlJc w:val="right"/>
      <w:pPr>
        <w:ind w:left="3676" w:hanging="180"/>
      </w:pPr>
      <w:rPr>
        <w:rFonts w:cs="Times New Roman"/>
      </w:rPr>
    </w:lvl>
    <w:lvl w:ilvl="6" w:tplc="0816000F" w:tentative="1">
      <w:start w:val="1"/>
      <w:numFmt w:val="decimal"/>
      <w:lvlText w:val="%7."/>
      <w:lvlJc w:val="left"/>
      <w:pPr>
        <w:ind w:left="4396" w:hanging="360"/>
      </w:pPr>
      <w:rPr>
        <w:rFonts w:cs="Times New Roman"/>
      </w:rPr>
    </w:lvl>
    <w:lvl w:ilvl="7" w:tplc="08160019" w:tentative="1">
      <w:start w:val="1"/>
      <w:numFmt w:val="lowerLetter"/>
      <w:lvlText w:val="%8."/>
      <w:lvlJc w:val="left"/>
      <w:pPr>
        <w:ind w:left="5116" w:hanging="360"/>
      </w:pPr>
      <w:rPr>
        <w:rFonts w:cs="Times New Roman"/>
      </w:rPr>
    </w:lvl>
    <w:lvl w:ilvl="8" w:tplc="0816001B" w:tentative="1">
      <w:start w:val="1"/>
      <w:numFmt w:val="lowerRoman"/>
      <w:lvlText w:val="%9."/>
      <w:lvlJc w:val="right"/>
      <w:pPr>
        <w:ind w:left="5836" w:hanging="180"/>
      </w:pPr>
      <w:rPr>
        <w:rFonts w:cs="Times New Roman"/>
      </w:rPr>
    </w:lvl>
  </w:abstractNum>
  <w:abstractNum w:abstractNumId="6" w15:restartNumberingAfterBreak="0">
    <w:nsid w:val="11D268E4"/>
    <w:multiLevelType w:val="hybridMultilevel"/>
    <w:tmpl w:val="1ADE23BC"/>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7" w15:restartNumberingAfterBreak="0">
    <w:nsid w:val="12CF512B"/>
    <w:multiLevelType w:val="hybridMultilevel"/>
    <w:tmpl w:val="1ADE23BC"/>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8" w15:restartNumberingAfterBreak="0">
    <w:nsid w:val="15807249"/>
    <w:multiLevelType w:val="hybridMultilevel"/>
    <w:tmpl w:val="677801D4"/>
    <w:lvl w:ilvl="0" w:tplc="C38EA556">
      <w:start w:val="1"/>
      <w:numFmt w:val="decimal"/>
      <w:lvlText w:val="%1."/>
      <w:lvlJc w:val="left"/>
      <w:pPr>
        <w:ind w:left="76" w:hanging="360"/>
      </w:pPr>
      <w:rPr>
        <w:rFonts w:cs="Times New Roman" w:hint="default"/>
      </w:rPr>
    </w:lvl>
    <w:lvl w:ilvl="1" w:tplc="08160019" w:tentative="1">
      <w:start w:val="1"/>
      <w:numFmt w:val="lowerLetter"/>
      <w:lvlText w:val="%2."/>
      <w:lvlJc w:val="left"/>
      <w:pPr>
        <w:ind w:left="796" w:hanging="360"/>
      </w:pPr>
      <w:rPr>
        <w:rFonts w:cs="Times New Roman"/>
      </w:rPr>
    </w:lvl>
    <w:lvl w:ilvl="2" w:tplc="0816001B" w:tentative="1">
      <w:start w:val="1"/>
      <w:numFmt w:val="lowerRoman"/>
      <w:lvlText w:val="%3."/>
      <w:lvlJc w:val="right"/>
      <w:pPr>
        <w:ind w:left="1516" w:hanging="180"/>
      </w:pPr>
      <w:rPr>
        <w:rFonts w:cs="Times New Roman"/>
      </w:rPr>
    </w:lvl>
    <w:lvl w:ilvl="3" w:tplc="0816000F" w:tentative="1">
      <w:start w:val="1"/>
      <w:numFmt w:val="decimal"/>
      <w:lvlText w:val="%4."/>
      <w:lvlJc w:val="left"/>
      <w:pPr>
        <w:ind w:left="2236" w:hanging="360"/>
      </w:pPr>
      <w:rPr>
        <w:rFonts w:cs="Times New Roman"/>
      </w:rPr>
    </w:lvl>
    <w:lvl w:ilvl="4" w:tplc="08160019" w:tentative="1">
      <w:start w:val="1"/>
      <w:numFmt w:val="lowerLetter"/>
      <w:lvlText w:val="%5."/>
      <w:lvlJc w:val="left"/>
      <w:pPr>
        <w:ind w:left="2956" w:hanging="360"/>
      </w:pPr>
      <w:rPr>
        <w:rFonts w:cs="Times New Roman"/>
      </w:rPr>
    </w:lvl>
    <w:lvl w:ilvl="5" w:tplc="0816001B" w:tentative="1">
      <w:start w:val="1"/>
      <w:numFmt w:val="lowerRoman"/>
      <w:lvlText w:val="%6."/>
      <w:lvlJc w:val="right"/>
      <w:pPr>
        <w:ind w:left="3676" w:hanging="180"/>
      </w:pPr>
      <w:rPr>
        <w:rFonts w:cs="Times New Roman"/>
      </w:rPr>
    </w:lvl>
    <w:lvl w:ilvl="6" w:tplc="0816000F" w:tentative="1">
      <w:start w:val="1"/>
      <w:numFmt w:val="decimal"/>
      <w:lvlText w:val="%7."/>
      <w:lvlJc w:val="left"/>
      <w:pPr>
        <w:ind w:left="4396" w:hanging="360"/>
      </w:pPr>
      <w:rPr>
        <w:rFonts w:cs="Times New Roman"/>
      </w:rPr>
    </w:lvl>
    <w:lvl w:ilvl="7" w:tplc="08160019" w:tentative="1">
      <w:start w:val="1"/>
      <w:numFmt w:val="lowerLetter"/>
      <w:lvlText w:val="%8."/>
      <w:lvlJc w:val="left"/>
      <w:pPr>
        <w:ind w:left="5116" w:hanging="360"/>
      </w:pPr>
      <w:rPr>
        <w:rFonts w:cs="Times New Roman"/>
      </w:rPr>
    </w:lvl>
    <w:lvl w:ilvl="8" w:tplc="0816001B" w:tentative="1">
      <w:start w:val="1"/>
      <w:numFmt w:val="lowerRoman"/>
      <w:lvlText w:val="%9."/>
      <w:lvlJc w:val="right"/>
      <w:pPr>
        <w:ind w:left="5836" w:hanging="180"/>
      </w:pPr>
      <w:rPr>
        <w:rFonts w:cs="Times New Roman"/>
      </w:rPr>
    </w:lvl>
  </w:abstractNum>
  <w:abstractNum w:abstractNumId="9" w15:restartNumberingAfterBreak="0">
    <w:nsid w:val="1C837380"/>
    <w:multiLevelType w:val="hybridMultilevel"/>
    <w:tmpl w:val="DD3035D0"/>
    <w:lvl w:ilvl="0" w:tplc="AB521C10">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0" w15:restartNumberingAfterBreak="0">
    <w:nsid w:val="32773153"/>
    <w:multiLevelType w:val="hybridMultilevel"/>
    <w:tmpl w:val="C0202832"/>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1" w15:restartNumberingAfterBreak="0">
    <w:nsid w:val="373B0928"/>
    <w:multiLevelType w:val="hybridMultilevel"/>
    <w:tmpl w:val="2738DD7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DA7685A"/>
    <w:multiLevelType w:val="hybridMultilevel"/>
    <w:tmpl w:val="428080A4"/>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3" w15:restartNumberingAfterBreak="0">
    <w:nsid w:val="41D42225"/>
    <w:multiLevelType w:val="hybridMultilevel"/>
    <w:tmpl w:val="99A2818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43944856"/>
    <w:multiLevelType w:val="hybridMultilevel"/>
    <w:tmpl w:val="46AC898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66B49A7"/>
    <w:multiLevelType w:val="hybridMultilevel"/>
    <w:tmpl w:val="8880084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6D52FA4"/>
    <w:multiLevelType w:val="hybridMultilevel"/>
    <w:tmpl w:val="A1AAA122"/>
    <w:lvl w:ilvl="0" w:tplc="51B4D97A">
      <w:start w:val="1"/>
      <w:numFmt w:val="lowerLetter"/>
      <w:lvlText w:val="%1)"/>
      <w:lvlJc w:val="left"/>
      <w:pPr>
        <w:ind w:left="644" w:hanging="360"/>
      </w:pPr>
      <w:rPr>
        <w:rFonts w:ascii="Calibri" w:eastAsia="Times New Roman" w:hAnsi="Calibri" w:cs="Calibri"/>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7" w15:restartNumberingAfterBreak="0">
    <w:nsid w:val="4B8157A4"/>
    <w:multiLevelType w:val="hybridMultilevel"/>
    <w:tmpl w:val="1136BFC2"/>
    <w:lvl w:ilvl="0" w:tplc="1BD62B80">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8" w15:restartNumberingAfterBreak="0">
    <w:nsid w:val="4D4B69C4"/>
    <w:multiLevelType w:val="hybridMultilevel"/>
    <w:tmpl w:val="B9CC69C6"/>
    <w:lvl w:ilvl="0" w:tplc="2AEADF62">
      <w:start w:val="1"/>
      <w:numFmt w:val="lowerLetter"/>
      <w:lvlText w:val="%1)"/>
      <w:lvlJc w:val="left"/>
      <w:pPr>
        <w:ind w:left="720" w:hanging="360"/>
      </w:pPr>
      <w:rPr>
        <w:rFonts w:ascii="Calibri" w:eastAsia="Times New Roman" w:hAnsi="Calibri" w:cs="Calibri"/>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87D0535"/>
    <w:multiLevelType w:val="hybridMultilevel"/>
    <w:tmpl w:val="691016CE"/>
    <w:lvl w:ilvl="0" w:tplc="744E2EF8">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0" w15:restartNumberingAfterBreak="0">
    <w:nsid w:val="5E260FB3"/>
    <w:multiLevelType w:val="hybridMultilevel"/>
    <w:tmpl w:val="8402BAC4"/>
    <w:lvl w:ilvl="0" w:tplc="8BD62484">
      <w:start w:val="1"/>
      <w:numFmt w:val="lowerLetter"/>
      <w:lvlText w:val="%1)"/>
      <w:lvlJc w:val="left"/>
      <w:pPr>
        <w:ind w:left="644" w:hanging="360"/>
      </w:pPr>
      <w:rPr>
        <w:rFonts w:hint="default"/>
        <w:b w:val="0"/>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1" w15:restartNumberingAfterBreak="0">
    <w:nsid w:val="637832A3"/>
    <w:multiLevelType w:val="hybridMultilevel"/>
    <w:tmpl w:val="056A2D1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65DF7410"/>
    <w:multiLevelType w:val="hybridMultilevel"/>
    <w:tmpl w:val="F230AD22"/>
    <w:lvl w:ilvl="0" w:tplc="87C65C5E">
      <w:start w:val="1"/>
      <w:numFmt w:val="lowerLetter"/>
      <w:lvlText w:val="%1)"/>
      <w:lvlJc w:val="left"/>
      <w:pPr>
        <w:ind w:left="644" w:hanging="360"/>
      </w:pPr>
      <w:rPr>
        <w:rFonts w:hint="default"/>
        <w:color w:val="auto"/>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3" w15:restartNumberingAfterBreak="0">
    <w:nsid w:val="7E111397"/>
    <w:multiLevelType w:val="hybridMultilevel"/>
    <w:tmpl w:val="23A6DF86"/>
    <w:lvl w:ilvl="0" w:tplc="76C4C2F8">
      <w:start w:val="1"/>
      <w:numFmt w:val="decimal"/>
      <w:lvlText w:val="%1."/>
      <w:lvlJc w:val="left"/>
      <w:pPr>
        <w:ind w:left="76" w:hanging="360"/>
      </w:pPr>
      <w:rPr>
        <w:rFonts w:cs="Times New Roman" w:hint="default"/>
      </w:rPr>
    </w:lvl>
    <w:lvl w:ilvl="1" w:tplc="08160019" w:tentative="1">
      <w:start w:val="1"/>
      <w:numFmt w:val="lowerLetter"/>
      <w:lvlText w:val="%2."/>
      <w:lvlJc w:val="left"/>
      <w:pPr>
        <w:ind w:left="796" w:hanging="360"/>
      </w:pPr>
      <w:rPr>
        <w:rFonts w:cs="Times New Roman"/>
      </w:rPr>
    </w:lvl>
    <w:lvl w:ilvl="2" w:tplc="0816001B" w:tentative="1">
      <w:start w:val="1"/>
      <w:numFmt w:val="lowerRoman"/>
      <w:lvlText w:val="%3."/>
      <w:lvlJc w:val="right"/>
      <w:pPr>
        <w:ind w:left="1516" w:hanging="180"/>
      </w:pPr>
      <w:rPr>
        <w:rFonts w:cs="Times New Roman"/>
      </w:rPr>
    </w:lvl>
    <w:lvl w:ilvl="3" w:tplc="0816000F" w:tentative="1">
      <w:start w:val="1"/>
      <w:numFmt w:val="decimal"/>
      <w:lvlText w:val="%4."/>
      <w:lvlJc w:val="left"/>
      <w:pPr>
        <w:ind w:left="2236" w:hanging="360"/>
      </w:pPr>
      <w:rPr>
        <w:rFonts w:cs="Times New Roman"/>
      </w:rPr>
    </w:lvl>
    <w:lvl w:ilvl="4" w:tplc="08160019" w:tentative="1">
      <w:start w:val="1"/>
      <w:numFmt w:val="lowerLetter"/>
      <w:lvlText w:val="%5."/>
      <w:lvlJc w:val="left"/>
      <w:pPr>
        <w:ind w:left="2956" w:hanging="360"/>
      </w:pPr>
      <w:rPr>
        <w:rFonts w:cs="Times New Roman"/>
      </w:rPr>
    </w:lvl>
    <w:lvl w:ilvl="5" w:tplc="0816001B" w:tentative="1">
      <w:start w:val="1"/>
      <w:numFmt w:val="lowerRoman"/>
      <w:lvlText w:val="%6."/>
      <w:lvlJc w:val="right"/>
      <w:pPr>
        <w:ind w:left="3676" w:hanging="180"/>
      </w:pPr>
      <w:rPr>
        <w:rFonts w:cs="Times New Roman"/>
      </w:rPr>
    </w:lvl>
    <w:lvl w:ilvl="6" w:tplc="0816000F" w:tentative="1">
      <w:start w:val="1"/>
      <w:numFmt w:val="decimal"/>
      <w:lvlText w:val="%7."/>
      <w:lvlJc w:val="left"/>
      <w:pPr>
        <w:ind w:left="4396" w:hanging="360"/>
      </w:pPr>
      <w:rPr>
        <w:rFonts w:cs="Times New Roman"/>
      </w:rPr>
    </w:lvl>
    <w:lvl w:ilvl="7" w:tplc="08160019" w:tentative="1">
      <w:start w:val="1"/>
      <w:numFmt w:val="lowerLetter"/>
      <w:lvlText w:val="%8."/>
      <w:lvlJc w:val="left"/>
      <w:pPr>
        <w:ind w:left="5116" w:hanging="360"/>
      </w:pPr>
      <w:rPr>
        <w:rFonts w:cs="Times New Roman"/>
      </w:rPr>
    </w:lvl>
    <w:lvl w:ilvl="8" w:tplc="0816001B" w:tentative="1">
      <w:start w:val="1"/>
      <w:numFmt w:val="lowerRoman"/>
      <w:lvlText w:val="%9."/>
      <w:lvlJc w:val="right"/>
      <w:pPr>
        <w:ind w:left="5836" w:hanging="180"/>
      </w:pPr>
      <w:rPr>
        <w:rFonts w:cs="Times New Roman"/>
      </w:rPr>
    </w:lvl>
  </w:abstractNum>
  <w:num w:numId="1">
    <w:abstractNumId w:val="23"/>
  </w:num>
  <w:num w:numId="2">
    <w:abstractNumId w:val="8"/>
  </w:num>
  <w:num w:numId="3">
    <w:abstractNumId w:val="7"/>
  </w:num>
  <w:num w:numId="4">
    <w:abstractNumId w:val="10"/>
  </w:num>
  <w:num w:numId="5">
    <w:abstractNumId w:val="12"/>
  </w:num>
  <w:num w:numId="6">
    <w:abstractNumId w:val="3"/>
  </w:num>
  <w:num w:numId="7">
    <w:abstractNumId w:val="5"/>
  </w:num>
  <w:num w:numId="8">
    <w:abstractNumId w:val="6"/>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8"/>
  </w:num>
  <w:num w:numId="13">
    <w:abstractNumId w:val="19"/>
  </w:num>
  <w:num w:numId="14">
    <w:abstractNumId w:val="4"/>
  </w:num>
  <w:num w:numId="15">
    <w:abstractNumId w:val="13"/>
  </w:num>
  <w:num w:numId="16">
    <w:abstractNumId w:val="11"/>
  </w:num>
  <w:num w:numId="17">
    <w:abstractNumId w:val="22"/>
  </w:num>
  <w:num w:numId="18">
    <w:abstractNumId w:val="21"/>
  </w:num>
  <w:num w:numId="19">
    <w:abstractNumId w:val="0"/>
  </w:num>
  <w:num w:numId="20">
    <w:abstractNumId w:val="15"/>
  </w:num>
  <w:num w:numId="21">
    <w:abstractNumId w:val="16"/>
  </w:num>
  <w:num w:numId="22">
    <w:abstractNumId w:val="17"/>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9D"/>
    <w:rsid w:val="00000BB2"/>
    <w:rsid w:val="00061B6F"/>
    <w:rsid w:val="0009005B"/>
    <w:rsid w:val="000F2676"/>
    <w:rsid w:val="00180894"/>
    <w:rsid w:val="001A04F4"/>
    <w:rsid w:val="001B49C4"/>
    <w:rsid w:val="001E33E5"/>
    <w:rsid w:val="00216375"/>
    <w:rsid w:val="00230EF8"/>
    <w:rsid w:val="00242FC6"/>
    <w:rsid w:val="00293B1B"/>
    <w:rsid w:val="002A159F"/>
    <w:rsid w:val="002B6B8E"/>
    <w:rsid w:val="002E4BD9"/>
    <w:rsid w:val="003C61B5"/>
    <w:rsid w:val="00421565"/>
    <w:rsid w:val="004352CC"/>
    <w:rsid w:val="00493404"/>
    <w:rsid w:val="00513FBA"/>
    <w:rsid w:val="0056748C"/>
    <w:rsid w:val="00602201"/>
    <w:rsid w:val="0062013E"/>
    <w:rsid w:val="006C7787"/>
    <w:rsid w:val="006D3647"/>
    <w:rsid w:val="007029C8"/>
    <w:rsid w:val="0077558F"/>
    <w:rsid w:val="007A656E"/>
    <w:rsid w:val="0081349D"/>
    <w:rsid w:val="0081487D"/>
    <w:rsid w:val="008363A5"/>
    <w:rsid w:val="00883AE7"/>
    <w:rsid w:val="008A5CC8"/>
    <w:rsid w:val="008B037B"/>
    <w:rsid w:val="008F2946"/>
    <w:rsid w:val="00910873"/>
    <w:rsid w:val="00954829"/>
    <w:rsid w:val="00971745"/>
    <w:rsid w:val="0099515A"/>
    <w:rsid w:val="009F3F7E"/>
    <w:rsid w:val="00B242DF"/>
    <w:rsid w:val="00B916BD"/>
    <w:rsid w:val="00BB08AA"/>
    <w:rsid w:val="00BD5149"/>
    <w:rsid w:val="00C47DC8"/>
    <w:rsid w:val="00C54D22"/>
    <w:rsid w:val="00C819AD"/>
    <w:rsid w:val="00D67B34"/>
    <w:rsid w:val="00D77F64"/>
    <w:rsid w:val="00D8351B"/>
    <w:rsid w:val="00DC7EE5"/>
    <w:rsid w:val="00E07735"/>
    <w:rsid w:val="00ED3CBE"/>
    <w:rsid w:val="00EF0AFC"/>
    <w:rsid w:val="00F37DCF"/>
    <w:rsid w:val="00F571F9"/>
    <w:rsid w:val="00F70456"/>
    <w:rsid w:val="00FC4F22"/>
    <w:rsid w:val="00FC599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1385B5"/>
  <w15:chartTrackingRefBased/>
  <w15:docId w15:val="{A829C840-0887-4BAA-9926-3489C0F2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49D"/>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81349D"/>
    <w:pPr>
      <w:tabs>
        <w:tab w:val="center" w:pos="4252"/>
        <w:tab w:val="right" w:pos="8504"/>
      </w:tabs>
    </w:pPr>
  </w:style>
  <w:style w:type="character" w:customStyle="1" w:styleId="CabealhoCarter">
    <w:name w:val="Cabeçalho Caráter"/>
    <w:basedOn w:val="Tipodeletrapredefinidodopargrafo"/>
    <w:link w:val="Cabealho"/>
    <w:rsid w:val="0081349D"/>
    <w:rPr>
      <w:rFonts w:ascii="Times New Roman" w:eastAsia="Times New Roman" w:hAnsi="Times New Roman" w:cs="Times New Roman"/>
      <w:sz w:val="24"/>
      <w:szCs w:val="24"/>
      <w:lang w:eastAsia="pt-PT"/>
    </w:rPr>
  </w:style>
  <w:style w:type="paragraph" w:styleId="Rodap">
    <w:name w:val="footer"/>
    <w:basedOn w:val="Normal"/>
    <w:link w:val="RodapCarter"/>
    <w:rsid w:val="0081349D"/>
    <w:pPr>
      <w:tabs>
        <w:tab w:val="center" w:pos="4252"/>
        <w:tab w:val="right" w:pos="8504"/>
      </w:tabs>
    </w:pPr>
  </w:style>
  <w:style w:type="character" w:customStyle="1" w:styleId="RodapCarter">
    <w:name w:val="Rodapé Caráter"/>
    <w:basedOn w:val="Tipodeletrapredefinidodopargrafo"/>
    <w:link w:val="Rodap"/>
    <w:rsid w:val="0081349D"/>
    <w:rPr>
      <w:rFonts w:ascii="Times New Roman" w:eastAsia="Times New Roman" w:hAnsi="Times New Roman" w:cs="Times New Roman"/>
      <w:sz w:val="24"/>
      <w:szCs w:val="24"/>
      <w:lang w:eastAsia="pt-PT"/>
    </w:rPr>
  </w:style>
  <w:style w:type="paragraph" w:styleId="PargrafodaLista">
    <w:name w:val="List Paragraph"/>
    <w:basedOn w:val="Normal"/>
    <w:uiPriority w:val="99"/>
    <w:qFormat/>
    <w:rsid w:val="0081349D"/>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uiPriority w:val="39"/>
    <w:rsid w:val="0081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BD6F0-0F97-4B0D-B373-F40666CD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2965</Words>
  <Characters>16012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Vânia Rute Dâmaso Néné</dc:creator>
  <cp:keywords/>
  <dc:description/>
  <cp:lastModifiedBy>Maria do Carmo</cp:lastModifiedBy>
  <cp:revision>4</cp:revision>
  <cp:lastPrinted>2019-01-30T11:02:00Z</cp:lastPrinted>
  <dcterms:created xsi:type="dcterms:W3CDTF">2019-02-20T17:14:00Z</dcterms:created>
  <dcterms:modified xsi:type="dcterms:W3CDTF">2019-03-01T12:27:00Z</dcterms:modified>
</cp:coreProperties>
</file>